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Julgado em: </w:t>
      </w:r>
      <w:r>
        <w:t xml:space="preserve">24/05/1987</w:t>
      </w:r>
    </w:p>
    <w:p/>
    <w:p>
      <w:r>
        <w:t xml:space="preserve">REDUÇÃO — ALIMENTANTE QUE ASSUME NOVOS ENCARGOS - QUANDO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acordo com o art. 401 do Código Civil, diretamente ordenado à disciplina de relações entre parentes, mas aplicável também por analogia, aos alimentos entre cônjuges ou ex-cônjuges, justifica-se a exoneração da pensão se houver mudança para pior na fortuna do alimentante, ou para melhor na do(s) alimentando(s). - Com relação ao primeiro caso não se pode negar, em linha de princípio, que o novo casamento do divorciado, na medida em que constitua motivo de aumento de despesas, e portanto lhe diminua a possibilidade financeira se enquadraria na moldura legal. - Acontece, porém, que o art. 30 da Lei nº 6.515, de 26-12-1977, categoricamente exclui, para tal fim, a relevância do fato: «Se o cônjuge devedor da pensão vier a casar-se, o novo não alterará a obrigação.» - Essa norma que tem caráter excepcional, não comporta a extensão a outras hipóteses. - Assim, por exemplo, se ao alimentante nasce(m) novo(s) filhos(s), tem por imposição legal, de prover ao respectivo sustento, e com isso naturalmente se lhe reduzem os meios. - Em tais circunstâncias, forçoso é reconhecer que se justifica a modificação, para menos, do quantum da pensão que vinha pagando ao ex-cônjuge e aos filhos do casamento desfeito. - do contrário, poderá chegar a um momento em que a totalidade dos seus ganhos fique comprometida com a manutenção dos dependentes, e nada lhe sobrará para sustentar-se a si mesmo - com consequências inclusive para os alimentados, que correrão o risco de ver morta a «galinha dos ovos de ouro». - À luz de semelhantes consid erações, e tendo em vista que o Apelante teve duas filhas de sua atual mulher - aliás, antes do segundo casamento -, afigura-se razoável aliviá-lo em parte dos encargos que suporta com referência às Apeladas. - Não, porém, na medida excessiva que pleiteia. - Reduz-se, pois, a 10% a taxa da parcela destinada à segunda filha. - Deve permanecer inalterada, ao contrário, a parcela que se destina à primeira filha, Christiane, de saúde, precária, por conseguinte mais necessitada de ajuda. Julgado em 25-05-1987 Arquivo do EMFOR, TJ/ 1.539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novo casamento do alimentante, em si, não altere a sua obrigação alimentar para com o anterior cônjuge e os filhos do primeiro leito, o nascimento de outros filhos, a cujo sustento, por imposição legal, ele não pode deixar de prover, deve ser reconhecido como fato capaz de configurar a diminuição de sua possibilidade e, portanto, a redução de pensão que ele vinha pagando.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2026-07-28T02:01:19.955Z</dcterms:created>
  <dcterms:modified xsi:type="dcterms:W3CDTF">2026-07-28T02:01:19.955Z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