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Apelação 36.668</w:t>
      </w:r>
    </w:p>
    <w:p/>
    <w:p>
      <w:r>
        <w:t xml:space="preserve">REDUÇÃO — ALIMENTANTE QUE ASSUME NOVOS ENCARGOS -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simples união a outra mulher não seria suficiente, à vista do disposto no art. 30 da Lei nº 6.515, de 26-12-77, segundo a qual nem mesmo o fato de voltar a casar-se o alimentante divorciado tem a consequência de extinguir sua obrigação para com o cônjuge anterior. Não se pode, contudo dizer o mesmo em relação ao superveniente nascimento de filhos, pois estes, sejam embora ilegítimos, fazem jus a ser sustentados pelo pai, cuja possibilidade, portanto, fica reduzida em face dos outros credores: aumentando o divisor, diminui o quociente. Assim tem decidido esta E. Câmara, em mais de um caso análogo. - É certo que restou descumprido o despacho, que ordena a juntada das certidões de nascimento dos filhos havidos da nova companheira. Observa-se, porém, que a Ré, na defesa, se absteve de contestar esse tópico da inicial, e no memorial, expressamente reconheceu que o Autor tinha &lt;&lt;uma companheira e um filho para manter&gt;&gt;. Pelo menos um, por conseguinte, é de existência incontroversa, subsistindo apenas dúvida quando ao outro, que teria nascido em 1984. É quanto basta para justificar a redução decretada pelo Juízo "a quo", se bem que não justifique o acolhimento integral do pedido. A sentença deu ao litígio solução correta e merece confirmação. Ac. de 08-08-1988 Arquivo do Ementário Forense, TJ/1.664 NO MESMO SENTIDO: Apelação nº 36.668, TJRJ; Apelação nº 52.716-1, TJSP, e Apelação nº 126/87, TJRJ, in &lt;&lt;EMENTÁRIO FORENSE&gt;&gt;, Ns. 461, 450 e 469.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união do alimentante a outra mulher, por si só, não tem relevância, mas o consequente nascimento de filhos, embora ilegítimos, a cujo subsistência o devedor não pode deixar de prover, diminui sua possibilidade em face da antiga credora e justifica a redução do montante 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2026-07-28T01:44:17.441Z</dcterms:created>
  <dcterms:modified xsi:type="dcterms:W3CDTF">2026-07-28T01:44:17.441Z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