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Então</w:t>
      </w:r>
    </w:p>
    <w:p/>
    <w:p>
      <w:r>
        <w:t xml:space="preserve">QUANDO SE LEGITIMA — INTELIGÊNCIA DO ART. 25 DA LEI 8.083/90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, o ilustre advogado confirmou exatamente aquilo que já o fizera o eminente Relator. Então não há duvida sobre a questão posta. O que se pediu foi que a Presidência deste Tribunal restabelecesse liminar denegada na instância de origem. Esse é o fato incontroverso. Poderia fazê-lo? Creio que não. O artigo que mencionei - art. 25 da Lei nº 8.038, de 1990 -, só permite à Presidência desta Corte suspender os efeitos de liminar concedida ou os efeitos de segurança concedida, não restabelecer liminar. Se houve erro das instâncias de origem, meios haverá para corrigi-lo, jamais através deste remédio utilizado com apoio no art. 25 da Lei nº 8.038, de 1990. - Por assim entender, peço vênia ao eminente Ministro-Relator para dar provimento ao agravo. Ac. de 20-11-1996 DJ de 08-04-1997 VENCIDOS OS EXMOS SRS MINISTROS RELATOR E NILSON NAVES Arquivo do EMFOR, STJ/N 3.031 EMFOR 617 EMENTA: - Nos recursos previstos no artigo 19 da Lei nº 1.533/51 não se inclui o agravo de instrumento. E o ato impugnado só poderia ser reparado por meio do mandamus por ser o interessado terceiro prejudicado nada impedindo-o de requerer a segurança impetrada contra ato de difícil ou incerta reparação. RESUMO DO ACÓRDÃO: - O ato judicial contra o qual se rebelou o ora recorrente não era passível de correção mediante agravo de instrumento como entendeu a decisão recorrida. Isto porque os recursos admissíveis e previstos no artigo 19 da Lei nº 1.533/51 não se inclui o agravo de instrumento. Ademais o ato impugnado só poderia ser reparado por meio do mandamus por ser o recorrente terceiro prejudicado nada impedindo-o de requerer mandado de segurança contra ato de difícil ou incerta reparação como no caso. Neste passo manifestou-se a douta Subprocuradoria Geral da República: "A segurança foi impetrada no dia 21 de abril de 1989 .... O mandado de busca e apreensão foi expedido no dia 5 de janeiro de 1989 ..., sendo cumprido, pelo oficial de justiça, somente no dia 3 de fevereiro de 1989 ..., data na qual o recorrente tomou ciência do ato coator. Assim dispõe o art. 18 da Lei nº 1.533/51: 'Art. 18 - O direito de requerer mandado de segurança extinguir-se-á decorridos cento e vinte dias contados da ciência, pelo interessado, do ato impugnado.' Ora, se o prazo decadencial começa a correr a partir do conhecimento, por parte do recorrente, do ato lesivo ao seu direito, é claro que este conhecimento só se realizou com o cumprimento do mandado judicial e não de sua expedição. Assim, tempestivo a presente segurança, uma vez que o lapso temporal entre o ato lesivo e a impetração do mandado de segurança foi de 77 (setenta e sete) dias. Mesmo que deste modo não se entenda, ainda assim seria tempestivo, pois entre a expedição do referido mandado de busca e apreensão e a impetração do writ, foram decorridos 106 (cento e s eis) dias, dentro, portanto, do prazo legal de 120 (cento e vinte) dias. Em relação à impossibilidade de se conceder a segurança por ser o ato judicial impugnado suscetível de recurso, não pode prosperar tal entendimento no caso. O recorrente não é parte na ação cautelar onde foi proferida a medida judicial de busca e apreensão, ou seja, não integra a relação processual em que se viu prejudicado. Então, como poderia o v. acórdão guerreado impossibilitá-lo de usar o mandado de segurança como meio hábil para assegurar o seu direito à propriedade do veículo apreendido, já que a própria Constituição Federal (art. 5º, LXIX) lhe garante tal prerrogativa?" (fls. ...) - Pelo exposto, conheço do recurso e dou-lhe provimento para reformar o acórdão recorrido a fim de que o egrégio tribunal a quo aprecie o mérito do pedido como entender de direito. - É o meu voto. Ac. de 12-05-1993 DJ de 07-06-1993 (Registro nº 90.0010990-6) STJ - 10 ANOS A SERVIÇO DA JUSTIÇA - vol. 3, pág. 024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25 da Lei nº 8.038, de 28.05.90, dá competência ao Presidente do Superior Tribunal de Justiça para suspender a execução de liminar ou decisão concessiva de segurança, proferida em única ou última instância pelos Tribunais Regionais Federais, ou pelos Tribunais dos Estados e do Distrito Federal, e não para restabelecer liminar que fora cassada.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2026-07-27T23:47:39.935Z</dcterms:created>
  <dcterms:modified xsi:type="dcterms:W3CDTF">2026-07-27T23:47:39.935Z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