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Julgado em: </w:t>
      </w:r>
      <w:r>
        <w:t xml:space="preserve">20/11/1984</w:t>
      </w:r>
    </w:p>
    <w:p/>
    <w:p>
      <w:r>
        <w:t xml:space="preserve">REDUÇÃO — DIVORCIADO QUE ASSUME NOVOS ENCARGOS - QUANDO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quem esteja em desacordo com a afirmação de ser excessivo o encargo alimentício do pai. O obstáculo à alteração residiria ou no art. 27 ou no art. 30 da Lei de Alimentos, ou na inalterabilidade da situação patrimonial de alimentante e alimentados. - É possível também tranquilamente concluir no sentido de haver o pai se conduzido generosamente quanto à fixação da obrigação alimentícia, até que passou a perceber que deveria poder ver reduzido o seu ônus. - De início, afasta-se de vez a pretendida ausência de alteração em sua situação patrimonial. - Comenta assim J. M. ANTUNES VARELA a norma do art. 30 da Lei do Divórcio: "Se o cônjuge divorciado pode livremente celebrar novo casamento e se o objeto da obrigação alimentícia depende, não só das necessidades de quem recebe mas também dos recursos de quem presta (art. 400 do CC) não faz grande sentido a afirmação expressa da inalterabilidade da pensão a partir do momento em que o obrigado passa a ter, legitimamente, novos encargos sobre si. - É uma disposição que não parece fácil de justificar, à luz dos princípios gerais que regem a matéria" ("Dissolução da Sociedade Conjugal", p. 137). - Mas o dispositivo não deveria ser sequer invocado por analogia mesmo, uma vez que a norma que diz respeito à situação dos filhos é o art. 27, parágrafo único, apontado pela douta Procuradoria, e o seu alcance é bem mais restrito: "O novo casamento de qualquer dos pais ou de ambos também não importará restrição a esses direitos e deveres." - Cinge-se essa norma, entre outras coisas, a não permitir alteração ao regime relativo a direito e deveres. Não se estende ao valor dos alimentos. Eram devi dos. Continuam devidos. Persistem como tal, ainda que seja necessário proceder-se a uma revisão de seu valor por iniciativa do interessado. - Os encargos e responsabilidade do alimentante para com a nova família estão a acrescer e é nesse sentido que isso corresponde a mudança da fortuna (art. 401 do CC). - Mas há um dado a mais. A ex-esposa desde a separação fixou-se no sentido de possuir rendimento próprio (cláusula 5ª, fls.). - A contar agora mais dois filhos do novo casamento, é sumamente recomendável que venha indiretamente a suportar a redução no valor dos alimentos de responsabilidade do ex-marido em favor dos filhos, isto porque está a se defrontar com a regra do art. 20 da Lei do Divórcio: "Para a manutenção dos filhos os cônjuges, separados judicialmente, contribuirão na proporção de seus recursos". - Seria algo de totalmente anômalo que os que os filhos se desenvolvessem com a impressão de se constituírem exclusivamente em encargo do pai, com o que poderia a mãe desvelar-se patrimonialmente para com os novos filhos, mais tranquilizada com a circunstância de arcar ele com o sustento dos alimentados, em que pese haja demonstrado nos autos haver se inscrito em convênio médico e também em convênio odontológico porque são elevadas as despesas pertinentes a essas necessidades, como ocorre, aliás, em todos os lares de padrão médio. - E se há algo que nos autos bem elucidado ficou que o padrão de vida médio mantém-se a regra em ambos os lares. - Não há perder de vista, igualmente, que em momento algum se poderia atribuir do pai intuito egoístico ou desinteressado com relação aos alimentados. Bem ao contrário, sempre se dispõe a assumir até a guarda de ambos. - Dessa maneira dúvida não pode restar de que faça jus, a toda a evidência, o alimentado a uma redução razoável de seu encargo, sem que ela possa se estender, porém, ao cancelamento das prestações de férias e aquela concernente ao 1 3º mês, a primeira porque o dispêndio com o sustento se constitui em assunção de responsabilidade que não pode se cingir estritamente a uma contabilização de gastos mês a mês, e a última porque corresponde a uma finalidade especial, que deve ser estendida, em seu caráter de benefício, também aos alimentados. - Essa redução atenderá igualmente à necessidade em tese, de se abrir espaço para que o alimentante tenha disponibilidade para dar espontaneamente, ou seja, oferecer algo mais além da obrigação assumida, com prestações sujeitas à fiscalização principalmente quando os filhos atingem a adolescência, fase em que começam a sentir a falta até mesmo da mesada de caráter todo pessoal. - Atendendo a tais considerações, reduz-se a prestação alimentícia em favor dos alimentados a 35% do ganho líquido do alimentante. - Com o provimento parcial, têm-se por compensadas as honorárias de obrigação do alimentant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a alteração da situação patrimonial do alimentante, que, após o divórcio, assumiu novos encargos com a constituição de nova família, inexiste óbice legal à redução de prestação alimentícia por ele devida.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2026-07-27T23:58:02.138Z</dcterms:created>
  <dcterms:modified xsi:type="dcterms:W3CDTF">2026-07-27T23:58:02.138Z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