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/>
    <w:p>
      <w:r>
        <w:t xml:space="preserve">EMISSÃO POR EMPRESA DO GRUPO FINANCEIRO DO MUTUANTE — SE É VÁLIDA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outorga de mandato, pelo mutuário, a pessoa jurídica integrante do Grupo do mutuante, em regra, não tem validade, face ao manifesto conflito de interesse, à sujeição do ato ao arbítrio de uma das partes e à afetação da vontade. V. o t. CAMBIAL st. MANDATO EMFOR 514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2026-10-26T03:39:30.651Z</dcterms:created>
  <dcterms:modified xsi:type="dcterms:W3CDTF">2026-10-26T03:39:30.651Z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