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05/01/1983</w:t>
      </w:r>
    </w:p>
    <w:p/>
    <w:p>
      <w:r>
        <w:t xml:space="preserve">ATO LEVADO A EFEITO PELO CORREIO — QUANDO É NULO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- Embora autorizada no art. 4º, § 2º da Lei nº 5.478, de 1968, citação, pelo Correio, para ação de alimentos, indispensável é que o destinatário subscreva pessoalmente o recibo no aviso postal, para que se crie a certeza de seu recebimento, pois o funcionário do Correio não tem fé pública. - Assinado o recibo por outrem, renovada há de ser a citação, não se admitindo seja reconhecida revelia para efeito de condenação do réu em julgamento antecipado em seguida a audiência à qual, por isso mesmo, não compareceu. - Nulo é, em tal caso, o processo em decorrência do vício maior e essencial, que é o decorrente da falta de citação. 2. - Dá-se, à vista do exposto, provimento à apelação, para declarar a nulidade do processo, determinando que se proceda a regular citação. Julgado em 06-01-1983 Arquivo do Ementário Forense, TJ/1.519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autorizada no art. 4º, § 2º da Lei nº 5.478, de 1968, citação pelo Correio, para ação de alimentos, nula é a citação se o destinatário não subscreveu pessoalmente o recibo no aviso postal, pois não se cria certeza de seu recebimento, uma vez que o funcionário do Correio não tem fé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2026-07-27T23:29:10.460Z</dcterms:created>
  <dcterms:modified xsi:type="dcterms:W3CDTF">2026-07-27T23:29:10.460Z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