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REsp 11.767</w:t>
      </w:r>
    </w:p>
    <w:p/>
    <w:p>
      <w:r>
        <w:t xml:space="preserve">GARANTIA DE USO — NECESSIDADE DE DEMANDAR SUA ANULAÇÃO PARA IMPEDI-LO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3ª Turma tem entendido que não se pode deixar de garantir o uso da marca a quem tiver o respectivo registro, como resulta do artigo 59 do Código da Propriedade Industrial. Para impedi-lo será necessário demandar sua anulação. Enquanto subsistir aquele registro garante-se ao titular o direito ao uso. Assim se decidiu no julgamento do REsp 11.767, de que fui Relator, bem como no REsp 9.415, relatado pelo Ministro WALDEMAR ZVEITER. Entendendo a autora que aquele registro deve ser desconstituído haverá de demandá-lo em ação direta. - Em vista do exposto, conheço do recurso e dou-lhe provimento parcial para reformar o julgado na parte em que proibiu à recorrente o uso da marca de que é titular. Ac. de 01-03-1994 Rev. do Sup. Tribunal de Justiça - Junho de 1994 - Nº 58 - Pág. 373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vedar o uso a quem é titular do registro. A anulação desse haverá de ser pleiteada em ação direta.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2026-10-26T04:13:47.879Z</dcterms:created>
  <dcterms:modified xsi:type="dcterms:W3CDTF">2026-10-26T04:13:47.879Z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