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INVENTÁRIO</w:t>
      </w:r>
    </w:p>
    <w:p>
      <w:r>
        <w:rPr>
          <w:i/>
          <w:iCs/>
          <w:color w:val="666666"/>
        </w:rPr>
        <w:t xml:space="preserve">PARALISAÇÃO POR MAIS DE TRINTA DIAS</w:t>
      </w:r>
    </w:p>
    <w:p/>
    <w:p/>
    <w:p>
      <w:r>
        <w:t xml:space="preserve">INTERESSE DE AGIR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.................................................................................................... - JOSÉ FREDERICO MARQUES ensina que existe interesse de agir quando, "configurado o litígio, a providência jurisdicional invocada é cabível à situação concreta da lide, de modo que o pedido apresentado ao Juiz traduza formulação adequada à satisfação do interesse contrariado, não atendido, ou tornado incerto". - Em seguida, o citado jurista assevera que "Há, assim, interesse de agir sempre que a pretensão ajuizada, por ter fundamento razoável, se apresente viável no plano objetivo. Interesse de agir significa existência de pretensão objetivamente razoável" ("Manual de Direito Processual Civil", vol. 1º/157-158, Editora Saraiva, 1974). - Na espécie, tem-se que o pedido formulado na inicial se adequa à satisfação do interesse que o autor pretende ver tutelado, ou seja, existe, in casu, interesse-adequação (cf. VICENTE GRECCO FILHO, in "Direito Processual Civil Brasileiro", vol. 1º/41-42, Editora Saraiva, 6ª ed., 1989). Ac. de 03-02-1998 Revista JTJ - LEX, vol. 223 - pág. 13 EMENTÁRIO FORENSE. Agosto, 2000. Ano XII. Nº 621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Há interesse de agir sempre que a pretensão ajuizada, por ter fundamento razoável, se apresente viável no plano objetivo.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2026-10-26T02:20:26.713Z</dcterms:created>
  <dcterms:modified xsi:type="dcterms:W3CDTF">2026-10-26T02:20:26.713Z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