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TUTELA ANTECIPADA CONTRA A FAZENDA</w:t>
      </w:r>
    </w:p>
    <w:p>
      <w:r>
        <w:rPr>
          <w:i/>
          <w:iCs/>
          <w:color w:val="666666"/>
        </w:rPr>
        <w:t xml:space="preserve">FORNECIMENTO DE MEDICAMENTO</w:t>
      </w:r>
    </w:p>
    <w:p/>
    <w:p/>
    <w:p>
      <w:r>
        <w:t xml:space="preserve">PRAZO DE 30 DIAS PARA A PROPOSITURA DA AÇÃO PRINCIPAL — INOBSERVÂNCIA - INEFICÁCIA DA MEDIDA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Parece que a apelante acha que a liminar cautelar só se efetiva após o seu definitivo julgamento. Não é bem assim. - O art. 806 do CPC é claro quando exige a propositura da ação principal no prazo de 30 dias, contados da data da efetivação da medida, quando preparatória, como no caso. Por outro lado, a doutrina e a jurisprudência têm posturas já cristalizadas no sentido de que essa efetivação é a da liminar cautelar, tanto que o art. 808, II, prevê uma outra situação de ineficácia da cautelar, com o mesmo prazo de 30 dias, para sua execução, mas aqui já se partindo da sentença definitiva cautelar. - ......................................................................................................................................... - Discussão que poderia caber neste julgamento, só por amor ao estudo, posto que o recurso não lança essa controvérsia, seria sobre a incidência ou não do art. 806, c/c o art. 808, I, do CPC, neste tipo de cautelar. Pesquisamos doutrina e jurisprudência, e o entendimento pela resposta afirmativa é caudaloso e firme. Confiram-se, v.g., as seguintes obras: A Lei do Divórcio na Jurisprudência dos Tribunais, p. 47, de YUSSEF SAID CAHALI: Teoria e Prática do Divórcio, p. 199, de ANTONIO MACEDO DE CAMPOS, e O Divórcio e a Lei que o Regulamenta, p. 85, de SILVIO RODRIGUES. - Conheço, portanto, do apelo mas nego-lhe provimento para manter a r. sentença, apenas retificando-se na parte conclusiva para ao invés de indeferir a inicial, declarar a ineficácia da medida cautelar, nos termos do art. 806, c/c e o art. 808, I; ambos do CPC, extinguindo, em conseqüência, o proces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7º da Lei 6.515/77. - A cautelar prevista no art. 7º da Lei do Divórcio submete-se à regra comum das cautelas, a não propositura da ação principal no prazo de 30 dias, contados da efetivação da liminar concedida, motiva a cessação de sua eficácia.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2026-07-28T01:47:39.196Z</dcterms:created>
  <dcterms:modified xsi:type="dcterms:W3CDTF">2026-07-28T01:47:39.196Z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