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REsp 24.442</w:t>
      </w:r>
    </w:p>
    <w:p/>
    <w:p>
      <w:r>
        <w:t xml:space="preserve">APLICAÇÃO — COMPETÊNCIA EXCLUSIVA DO JUIZ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aplicação de medidas sócio-educativas ao adolescente, pela prática de ato infracional, é da competência exclusiva do juiz. Referência: Arts. 112, 126, 127, 146, 148, 180 e 182 do Estatuto da Criança e do Adolescente. RM 1.967 - SP (5ª T 23.09.92 - DJ 13.10.92). REsp 24.442 - SP (5ª T 19.10.92 - DJ 16.11.92). RMS 1.968 - SP (5ª T 11.11.92 - DJ 30.11.92). REsp 26.079 - SP (5ª T 03.03.93 - DJ 22.03.93). RHC 1.641 - RS (6ª T 27.04.92 - DJ 18.05.92). REsp 28.886 - SP (6ª T 09.03.93 - DJ 05.04.93). EMFOR - Nº 548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2026-06-17T14:02:33.938Z</dcterms:created>
  <dcterms:modified xsi:type="dcterms:W3CDTF">2026-06-17T14:02:33.938Z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