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03. DESENVOLVIMENTO — DISCIPLINA E ESTABELECE MEDIDAS</w:t>
      </w:r>
    </w:p>
    <w:p/>
    <w:p>
      <w:pPr>
        <w:pStyle w:val="Heading2"/>
      </w:pPr>
      <w:r>
        <w:rPr>
          <w:b/>
          <w:bCs/>
        </w:rPr>
        <w:t xml:space="preserve">Ementa</w:t>
      </w:r>
    </w:p>
    <w:p>
      <w:r>
        <w:t xml:space="preserve">Art. 54. Os juros de debêntures ou obrigações ao portador e a remuneração das partes beneficiárias estão sujeitos à incidência do imposto de renda na fonte: I - à razão de 15% (quinze por cento), no caso de identificação do beneficiário nos têrmos do art. 3º, da Lei nº 4.154, de 28 de novembro de 1962; II - à razão de 60% (sessenta por cento), se o beneficiário optar pela não identificação. Parágrafo único. No caso do inciso I deste artigo o imposto retido na fonte será compensado com o imposto devido com base na declaração anual de renda, na qual serão obrigatoriamente incluídos os juros percebidos. Art. 55. A incidência do imposto de renda na fonte, a que se refere o art. 18 da Lei n. 4.357, de 18 de julho de 1964, sobre rendimentos de ações ao portador, quando o beneficiário não se identifica, fica reduzida para 25% (vinte e cinco por cento), quando se tratar de sociedade anônima de capital aberto definida nos têrmos do art. 59 desta Lei, e 40% (quarenta por cento) para as demais sociedades. § 1° O imposto de renda não incidirá na fonte sobre os rendimentos distribuídos por sociedades anônimas de capital aberto aos seus acionistas titulares de ações nominativas, endossáveis ou ao portador, se optarem pela identificação, bem como sobre os juros dos títulos da dívida pública federal, estadual ou municipal, subscritos voluntàriamente. § 2º Para efeito de determinar a sua renda líquida sujeito ao imposto de renda, as pessoas físicas poderão abater da renda bruta: I - até Cr$600.000 (seiscentos mil cruzeiros) anuais de dividendos, bonificações em dinheiro ou outros interesses distribuídos por sociedades anônimas de capital aberto às suas ações nominativas, endossáveis, ou ao portador, se o beneficiário se identifica; II - até Cr$200.000 (duzentos mil cruzeiros) anuais de juros recebidos de títulos da dívida pública federal, estadual e municipal, subscritos voluntàriamente; III - até Cr$200.000 (duzentos mil cruzeiros) anuais de rendimentos distribuídos pelos fundos em condomínio e sociedades de investimentos aludidos na Seção IX. § 3º A importância total dedutível da renda bruta pelas pessoas físicas amparadas pelos incisos I e III do parágrafo anterior não poderá exceder a Cr$600.000 (seiscentos mil cruzeiros). Art. 56. Para efeito de determinar a renda líquida sujeita ao imposto de renda, as pessoas físicas poderão abater de sua renda bruta: I - 30% (trinta por cento) das importâncias efetivamente pagas para a subscrição voluntária de obrigações do Tesouro Nacional, de Títulos da Dívida Pública de emissão dos Estados e Municípios e de ações nominativas ou nominativas endossáveis de sociedades anônimas de capital aberto; II - 15% (quinze por cento) das importâncias efetivamente pagas para aquisição de quotas ou certificados de participação de fundos em condomínio, ou ações de sociedades de investimentos, aludidas na Seção IX. § 1° Se, antes de decorridos 2 (dois) anos da aquisição, a pessoa física vier a alienar as obrigações e títulos públicos, quotas de participação em fundos de condomínio, ações de sociedades de investimento ou de sociedades anônimas de capital aberto, deverá incluir, entre os rendimentos do ano da alienação, a importância que tiver abatido nos têrmos deste artigo, com relação às obrigações, quotas ou ações alienadas. § 2º (Vetado). Art. 57. As sociedades de investimentos, a que se refere o art. 49, que tenham por objeto exclusivo a aplicação do seu capital em carteira diversificada de títulos ou valores mobiliários, e os fundos em condomínio aludidos na Seção IX, não são contribuintes do imposto de renda, desde que distribuam anualmente os rendimentos auferidos. Art. 58. Na emissão de ações com ágio pelas companhias de capital subscrito ou autorizado, as importâncias recebidas dos subscritores, além do valor nominal das ações constituem capital excedente; não serão tributadas como rendimento da pes soa jurídica. Art. 59. Caberá ao Conselho Monetário Nacional fixar periodicamente as condições em que, para efeitos legais, a sociedade anônima é considerada de capital aberto. § 1º A deliberação do Conselho Monetário Nacional aumentando as exigências para a conceituação das sociedades de capital aberto somente entrará em vigor no exercício financeiro que se inicie, no mínimo, seis meses depois da data em que for publicada a deliberação. § 2º Para efeito do cálculo da percentagem mínima do capital com direito a voto, representado por ações efetivamente cotadas nas Bolsas de Valores, o Conselho Monetário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2026-06-17T14:02:30.889Z</dcterms:created>
  <dcterms:modified xsi:type="dcterms:W3CDTF">2026-06-17T14:02:30.889Z</dcterms:modified>
</cp:coreProperties>
</file>

<file path=docProps/custom.xml><?xml version="1.0" encoding="utf-8"?>
<Properties xmlns="http://schemas.openxmlformats.org/officeDocument/2006/custom-properties" xmlns:vt="http://schemas.openxmlformats.org/officeDocument/2006/docPropsVTypes"/>
</file>