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p>
      <w:r>
        <w:t xml:space="preserve">02. LEI 6.404/76 E LEI 6.385/76 — DISPOSITIVOS - ALTERA</w:t>
      </w:r>
    </w:p>
    <w:p/>
    <w:p>
      <w:pPr>
        <w:pStyle w:val="Heading2"/>
      </w:pPr>
      <w:r>
        <w:rPr>
          <w:b/>
          <w:bCs/>
        </w:rPr>
        <w:t xml:space="preserve">Ementa</w:t>
      </w:r>
    </w:p>
    <w:p>
      <w:r>
        <w:t xml:space="preserve">Art. 2º Os arts. 9º, 11, 15, 17, 21 e 22 da Lei nº 6.385, de 7 de dezembro de 1976, passam a vigorar com a seguinte redação: Art.9º................................................................. V - apurar, mediante inquérito administrativo, atos ilegais e práticas não eqüitativas de administradores, membros do conselho fiscal e acionistas de companhias abertas, dos intermediários e dos demais participantes do mercado; .................................................................... Art.11................................................................. III - suspensão do exercício do cargo de administrador ou de conselheiro fiscal de companhia aberta, de entidade do sistema de distribuição ou de outras entidades que dependam de autorização ou registro na Comissão de Valores Mobiliários; IV - inabilitação temporária, até o máximo de vinte anos, para o exercício dos cargos referidos no inciso anterior; .................................................................... VI - cassação de autorização ou registro, para o exercício das atividades de que trata esta Lei; VII - proibição temporária, até o máximo de vinte anos, de praticar determinadas atividades ou operações, para os integrantes do sistema de distribuição ou de outras entidades que dependam de autorização ou registro na Comissão de Valores Mobiliários; VIII - proibição temporária até o máximo de dez anos, de atuar, direta ou indiretamente, em uma ou mais modalidades de operação no mercado de valores mobiliários. § 1º..................................................................... I - R$500.000,00 (quinhentos mil reais); Il - cinqüenta por cento do valor da emissão ou operação irregular; ou III - três vezes o montante da vantagem econômica obtida ou da perda evitada em decorrência do ilícito. § 2º Nos casos de reincidência serão aplicadas, alternativamente, multa nos termos do parágrafo anterior, até o triplo dos valores fixados, ou penalidade prevista nos incisos Ill a VIII do caput deste artigo. § 3º Ressalvado o disposto no parágrafo anterior, as penalidades previstas nos incisos III a VIII do caput deste artigo somente serão aplicadas nos casos de infração grave, assim definidas em normas da Comissão de Valores Mobiliários. § 4º As penalidades somente serão impostas com observância do procedimento previsto no § 2º do art. 9º desta Lei cabendo recurso para o Conselho de Recursos do Sistema Financeiro Nacional. § 5º A Comissão de Valores Mobiliário poderá suspender, em qualquer fase, o procedimento administrativo, se o indiciado ou acusado assinar termo de compromisso, obrigando-se a: I - cessar a prática de atividades ou atos considerados ilícitos pela Comissão de Valores Mobiliários; e II - corrigir as irregularidades apontadas, inclusive indenizando os prejuízos. § 6º O compromisso a que se refere o parágrafo anterior não importará confissão quanto à matéria de fato, nem reconhecimento de ilicitude da conduta analisada. § 7º O termo de compromisso deverá ser publicado no Diário Oficial da União, discriminando o prazo para cumprimento das obrigações eventualmente assumidas, e o seu inadimplemento caracterizará crime de desobediência, previsto no art. 330 do Código Penal. § 8º Não cumpridas as obrigações no prazo, a Comissão de Valores Mobiliários dará continuidade ao procedimento administrativo anteriormente suspenso, para a aplicação das penalidades cabíveis. § 9º Serão considerados, na aplicação de penalidades previstas na lei, o arrependimento eficaz e o arrependimento posterior ou a circunstância de qualquer pessoa, espontaneamente, confessar ilícito ou prestar informações relativas à sua materialidade. § 10. A Comissão de Valores Mobiliários regulamentará a aplicação do disposto nos §§ 5º a 9º deste artigo aos procedimentos conduzidos pelas Bolsas de Valores e entidades do mercado de balcão organizado. § 11. A multa comi nada pela inexecução de ordem da Comissão de Valores Mobiliários, nos termos do inciso II do caput do art. 9º e do inciso IV de seu § 1º, não excederá a R$5.000,00 (cinco mil reais) por dia de atraso no seu cumprimento e sua aplicação independe do inquérito administrativo previsto no inciso V do caput do mesmo artigo. § 12. Da decisão que aplicar a multa prevista no parágrafo anterior caberá recurso voluntário, no prazo de dez dias, ao Colegiado da Comissão de Valores Mobiliários, sem efeito suspensivo. Art.15................................................................. V - entidades de mercado de balcão organizado. 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2026-06-17T15:20:46.708Z</dcterms:created>
  <dcterms:modified xsi:type="dcterms:W3CDTF">2026-06-17T15:20:46.708Z</dcterms:modified>
</cp:coreProperties>
</file>

<file path=docProps/custom.xml><?xml version="1.0" encoding="utf-8"?>
<Properties xmlns="http://schemas.openxmlformats.org/officeDocument/2006/custom-properties" xmlns:vt="http://schemas.openxmlformats.org/officeDocument/2006/docPropsVTypes"/>
</file>