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TRIBUTÁRIO NACIONAL</w:t>
      </w:r>
    </w:p>
    <w:p>
      <w:r>
        <w:rPr>
          <w:i/>
          <w:iCs/>
          <w:color w:val="666666"/>
        </w:rPr>
        <w:t xml:space="preserve">DECRETO-LEI 28 DE 14-11-1966</w:t>
      </w:r>
    </w:p>
    <w:p/>
    <w:p>
      <w:r>
        <w:rPr>
          <w:b/>
          <w:bCs/>
        </w:rPr>
        <w:t xml:space="preserve">Recurso: </w:t>
      </w:r>
      <w:r>
        <w:t xml:space="preserve">MS 9.020</w:t>
      </w:r>
    </w:p>
    <w:p/>
    <w:p>
      <w:r>
        <w:t xml:space="preserve">RESERVA ESPECIAL DE MAGISTÉRIO — DISTINÇÃO DA PASSAGEM PARA A INATIVIDADE - EFEITOS SOBRE AS VANTAGENS RESPECTIVAS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reserva ativa do magistério militar não confere vantagens vinculadas à efetiva passagem para a inatividade. Referência: - Estatuto dos Militares (Dec.-Lei nº 9.698, de 02.09.46), artigo 51. - Dec.-Lei nº 103, de 23.12.37, artigo 3º, parágrafo 1º MS 9.020, de 04.04.62; MS 9.404, de 04.06.62; MS 9.525, de 06.03.63 (D. de Just. de 25.04.63, p. 193); AR 537, de 03.08.62. Súmula de Jurisprudência Predominante do Supremo Tribunal Federal - Aprovada em Sessão de 13-12-1963 - pág. 51 EMFOR 54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2026-06-17T15:23:25.506Z</dcterms:created>
  <dcterms:modified xsi:type="dcterms:W3CDTF">2026-06-17T15:23:25.506Z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