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9.020</w:t>
      </w:r>
    </w:p>
    <w:p/>
    <w:p>
      <w:r>
        <w:t xml:space="preserve">RESERVA ESPECIAL DE MAGISTÉRIO — DISTINÇÃO DA PASSAGEM PARA A INATIVIDADE - EFEITOS SOBRE AS VANTAGENS RESPECTIVAS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reserva ativa do magistério militar não confere vantagens vinculadas à efetiva passagem para a inatividade. Referência: - Estatuto dos Militares (Dec.-Lei nº 9.698, de 02.09.46), artigo 51. - Dec.-Lei nº 103, de 23.12.37, artigo 3º, parágrafo 1º MS 9.020, de 04.04.62; MS 9.404, de 04.06.62; MS 9.525, de 06.03.63 (D. de Just. de 25.04.63, p. 193); AR 537, de 03.08.62. Súmula de Jurisprudência Predominante do Supremo Tribunal Federal - Aprovada em Sessão de 13-12-1963 - pág. 51 EMFOR 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2026-09-10T22:42:23.605Z</dcterms:created>
  <dcterms:modified xsi:type="dcterms:W3CDTF">2026-09-10T22:42:23.605Z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