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1.103</w:t>
      </w:r>
    </w:p>
    <w:p/>
    <w:p>
      <w:r>
        <w:t xml:space="preserve">TEMPO DE PAZ — DECISÃO DE TRIBUNAL MILITAR PERMANENTE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Oficial das Forças Armadas só pode ser reformado, em tempo de paz, por decisão de tribunal militar permanente, ressalvada a situação especial dos atingidos pelo artigo 177 da Constituição de 1937. Referência: - Const. Fed., artigo 182, § 2º, - Const. Fed. (1937), art. 177; - Dec.-Lei nº 2.746, de 05.11.40, art.16; - Lei nº 171, de 15.12.47, art. 6º EMS 1.103, de 25.06.51 (D. de Just. de 23.03.53, p. 942); MS 8.627, de 15.01.62; MS 8.073, de 02.07.62 (D. de Just. de 03.01.63, p. 4); ERE 51.637, de 14.06.63 (D. de Just. de 17.10.63, p. 1.025); AR 561, de 20.07.62. Diário da Justiça, Ano XXXIX - Nº 82, de 8 de maio de 1964 - ADENDO Nº 1 - pág. 1.238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2026-09-10T22:41:00.384Z</dcterms:created>
  <dcterms:modified xsi:type="dcterms:W3CDTF">2026-09-10T22:41:00.384Z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