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>
      <w:r>
        <w:rPr>
          <w:b/>
          <w:bCs/>
        </w:rPr>
        <w:t xml:space="preserve">Recurso: </w:t>
      </w:r>
      <w:r>
        <w:t xml:space="preserve">MS 21.186-5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VINCULAÇÃO AOS DOS MINISTROS DO SUPERIOR TRIBUNAL MILITAR — VEDAÇÃO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Assim se posicionou o STF (RMS nº 21.186-5, relator Ministro MARCO AURÉLIO): "Vencimentos - Solo - Vinculação - Militares e Ministros do Superior Tribunal Militar. A vinculação isonômica prevista no Decreto-lei nº 2.380/87 restou afastada do cenário jurídico pela Lei Básica de 1988 e não pela Lei nº 7.723/89. A conclusão decorre do fato de a referida Constituição dispor proibindo vinculação de vencimentos, para o efeito de remuneração de pessoal do serviço público, quer, civil, quer militar. A incompatibilidade é manifesta". - Colocado o tema nos termos até agora focalizados, não resta a menor dúvida de que a equiparação ou vinculação acha-se revogada, seja pela Constituição, seja pela lei ordinária. Ac. de 10-12-1991 Arquivo do EMFOR - STJ/613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pretendida isonomia de vencimentos de oficiais integrantes das Forças Armadas, com Ministros do Superior Tribunal Militar não encontra respaldo legal, dada a dessemelhança de atribuições. Inexiste isonomia entre as funções de militar e magistrados, a justificar tratamento remuneratório correspondente.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2026-10-26T05:01:28.794Z</dcterms:created>
  <dcterms:modified xsi:type="dcterms:W3CDTF">2026-10-26T05:01:28.794Z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