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Recurso Especial 37.116-8-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DE JESUS FILHO</w:t>
      </w:r>
    </w:p>
    <w:p/>
    <w:p>
      <w:r>
        <w:t xml:space="preserve">PARTE REGULARMENTE REPRESENTADA — SUA ILEGITIMIDADE PARA RECORRER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que a eg. Corte Especial do Superior Tribunal de Justiça, julgando os Embargos de Divergência no Recurso Especial nº 37.116-8-SP, Relator Min. JOSÉ DE JESUS FILHO, acórdão publicado no DJ de 02.10.95, decidiu: "RECURSO ESPECIAL - MINISTÉRIO PÚBLICO. O Ministério Público não tem interesse jurídico para recorrer nas ações de acidente no trabalho, quando a parte está regularmente representada por advogado de sua livre escolha. Admitir-se o contrário é desqualificar a representação do advogado, cuja presença no processo é constitucionalmente indispensável. Embargos de divergência conhecidos e recebidos por maioria de votos." - Desta forma, em face da decisão supra, falta legitimidade ao Ministério Público para recorrer em ações acidentárias, quando a parte estiver regularmente representada, razão por que não conheço do recurso. - É como voto. Ac. de 20-08-1995 DJ 09-09-1996 Arquivo do EMFOR, STJ/N 1.937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Ministério Público não tem legitimidade processual para interpor recurso em lide acidentária, quando a parte estiver regularmente representada.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2026-07-28T04:00:40.552Z</dcterms:created>
  <dcterms:modified xsi:type="dcterms:W3CDTF">2026-07-28T04:00:40.552Z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