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HAMILTON DE MORAES E BARROS</w:t>
      </w:r>
    </w:p>
    <w:p>
      <w:r>
        <w:rPr>
          <w:b/>
          <w:bCs/>
        </w:rPr>
        <w:t xml:space="preserve">Julgado em: </w:t>
      </w:r>
      <w:r>
        <w:t xml:space="preserve">15/10/1985</w:t>
      </w:r>
    </w:p>
    <w:p/>
    <w:p>
      <w:r>
        <w:t xml:space="preserve">AQUISIÇÃO EXCLUSIVA COM SUAS ECONOMIAS — SE É NECESSÁRIA A DECLARAÇÃO NO ATO DA AQUISIÇÃO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Conforme assevera PONTES DE MIRANDA que a comunhão universal de bens importa na comunicação de todos os bens presentes e futuros, residindo o regime, tal como concebeu o Código, nos seguintes princípios fundamentais: "I - tudo que há que entra para o acervo dos bens do casal fica indistintamente como se fora possuído ou adquirido, ao meio, por cada um: os bens permanecem indivisos na propriedade unificada dos cônjuges, a cada um dos quais pertence metade imaginária, que só se desligará da outra quanto cessar a sociedade; II - tudo que cada cônjuge adquire se torna comum ao mesmo momento em que se operou a aquisição; é o casal, e não ele, que adquire...; III - os cônjuges são meeiros em todos os bens do casal, ainda que um deles nada trouxesse, ou nada adquirisse, na constância da sociedade conjugal; e, como o regime da comunhão perderia sua significação patrimonial se não abrangesse o ativo e o passivo dos societários cônjuges, a lei estatui que se comunicam todas as dívidas contraídas por atos ilícitos na constância da sociedade conjugal (CC, art. 262). A situação dos cônjuges é a de verdadeiros comunheiros ou societários, razão por que, dissolvida a sociedade conjugal, se procede a divisão dos bens pela ação de partilha" (Tratado de Direito Privado, 3ª ed. Borsói, 1971, v. 8º/288). - Tais princípios continuam válidos no art. 262, a despeito do advento do Estatuto da Mulher Casada, que alterou vários dispositivos do CC, dentre os quais os arts. 246 e 263, em que a autora assentou sua demanda, e é de considerar que todas as aquisições ocorreram no regime da lei anterior, na constância da sociedade conjugal. E mesmo que se admita efeito retroativo à Lei 4.121/62, com alteração dos dispositivos retromencionados, para que se considerassem reservados os bens obtidos com o produto da atividade laboral da autora era mister, em se tratando de imóveis, que a reserva ficasse consignada no ato da aquisição. É o que ensina ORLANDO GOMES: " para que um bem adquirido pela mulher constitua bem reservado, faz-se mister a declaração no ato da aquisição, de que tenha essa natureza. Em relação, aos bens móveis, a comprovação de reserva só pode ser feita, em casos de controvérsia, a posteriori, pelos mesmos meios de prova permitidos, salvo em relação aos que podem ser individualizados, como, p. ex. um automóvel; mas em relação aos imóveis, a reserva deve constar do ato da aquisição, para a competente averbação no Registro, embora a sua alienação esteja sujeita a restrições". (Direito de Família, 1968, pág. 148). - No caso, consignação de reserva não houve nos pré-contratos nem nas escrituras definitivas, e nos respectivos atos a suplicada esteve sempre assistida pelo marido, como comprovam os documentos careados para os autos. - Dispondo o art. 230 do CC que "o regime de bens entre os cônjuges começa a vigorar desde a data do casamento, e é irrevogável", não pode a autora, casada pelo regime de comunhão universal, excluir da partilha, sob a alegação de que foram auferidos com o produto da profissão, bens adquiridos na constância do matrimônio. Mas, mesmo que se devesse enfrentar a controvérsia considerando isoladamente o art. 245 do CC, afastando-se os demais dispositivos legais e as lições dos mestres invocados, para vingar a reserva pretendida era necessário que a autora fizesse prova inequívoca do exercício regular de profissão e de renda própria com ele relacionada suficiente para aquisição dos bens cuja reserva pretende. - De tais considerações, tenho que não pode subsistir a decisão a quo, pelo que dou provimento ao recurso. Julgado em 16-10-1985 Revista dos Tribunais. Vol. 606 - Pág. 190 NO SENTIDO CONTRÁRIO: Agr. Instr. nº 851, Tr. Just. R. de Janeiro - 4ªC. Relator: HAMILTON DE MORAES E BARROS, ac. de 06-06-77; Rec. Extr. nº 90.609, STF, 1ª T. Relator: Ministro THOMPSON FLORES, ac. de 03-04-79; Apelação nº 13.404, Tr. Just. R. de janeiro - 7ª C. Relator: Desembargador FERREIRA PINTO , ac. de 21-10-80 e Apelação nº 20.885 JTr. Just. R. de Janeiro - 7ª C. Relator. Desembargador FERREIRA PINTO, ac. de 18-05-82, respectivamente in "EMENTÁRIO FORENSE", Ns. 373, 381, 388 e 407.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um bem adquirido pela mulher constitua bem reservado faz-se mister a declaração no ato da aquisição de que tenha essa natureza. Inexistindo tal declaração, não pode a mulher separada judicialmente excluir da partilha bens pertencentes por sucessão a descendente.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2026-10-26T02:32:43.564Z</dcterms:created>
  <dcterms:modified xsi:type="dcterms:W3CDTF">2026-10-26T02:32:43.564Z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