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06/08/1986</w:t>
      </w:r>
    </w:p>
    <w:p/>
    <w:p>
      <w:r>
        <w:t xml:space="preserve">SEPARAÇÃO JUDICIAL — BENS JÁ PARTILHADOS - FALTA DE REGISTRO - EXCLUSÃO DA 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afirmação de que o aval foi dado a empresa familiar que dirige metade dos lucros à embargante é inverossímil. - A uma porque inexiste prova de familiaridade; - A duas, porquanto todas as ações da sociedade ficaram com o varão, como expressa o item VII da partilha; e - A três, dado que o aval foi aposto no título depois da sentença que decretou a separação e à revelia da recorrida. - Não há como dizer que o empréstimo fora contraído em benefício da família pelo simples motivo da anterior desconstituição dessa família. - Metade do valor dos bens imóveis suportará a penhora em virtude de não haver sido efetuado o registro da sua divisão. - Se por um lado o acordo vale entre os ex-cônjuges, por outro lado não valerá contra terceiros enquanto não registrado for. - A outra metade dos bens é assegurada à embargante-apelada pelo art 3º da lei 4.121, de .... 27-08-1962, o qual preceitua: "pelos títulos de dívida de qualquer natureza, firmados por um só dos cônjuges, ainda que casado pelo regime de comunhão universal, somente responderão os bens particulares do signatário e os comuns até o limite de sua meação." - Por estes fundamentos nega-se provimento ao apelo. Julgado em 07-08-1986 Arquivo do EMFOR, TA/759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a penhora sobre a meação da mulher separada judicialmente, se já partilhados os bens a seu favor, nada obstante a inexistência de posterior registro, se a obrigação foi assinada pelo ex-marido após a separação e à revelia da mulher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2026-10-26T02:42:17.432Z</dcterms:created>
  <dcterms:modified xsi:type="dcterms:W3CDTF">2026-10-26T02:42:17.432Z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