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06/08/1986</w:t>
      </w:r>
    </w:p>
    <w:p/>
    <w:p>
      <w:r>
        <w:t xml:space="preserve">SEPARAÇÃO JUDICIAL — BENS JÁ PARTILHADOS - FALTA DE REGISTRO - EXCLUSÃO DA 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afirmação de que o aval foi dado a empresa familiar que dirige metade dos lucros à embargante é inverossímil. - A uma porque inexiste prova de familiaridade; - A duas, porquanto todas as ações da sociedade ficaram com o varão, como expressa o item VII da partilha; e - A três, dado que o aval foi aposto no título depois da sentença que decretou a separação e à revelia da recorrida. - Não há como dizer que o empréstimo fora contraído em benefício da família pelo simples motivo da anterior desconstituição dessa família. - Metade do valor dos bens imóveis suportará a penhora em virtude de não haver sido efetuado o registro da sua divisão. - Se por um lado o acordo vale entre os ex-cônjuges, por outro lado não valerá contra terceiros enquanto não registrado for. - A outra metade dos bens é assegurada à embargante-apelada pelo art 3º da lei 4.121, de .... 27-08-1962, o qual preceitua: "pelos títulos de dívida de qualquer natureza, firmados por um só dos cônjuges, ainda que casado pelo regime de comunhão universal, somente responderão os bens particulares do signatário e os comuns até o limite de sua meação." - Por estes fundamentos nega-se provimento ao apelo. Julgado em 07-08-1986 Arquivo do EMFOR, TA/759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a penhora sobre a meação da mulher separada judicialmente, se já partilhados os bens a seu favor, nada obstante a inexistência de posterior registro, se a obrigação foi assinada pelo ex-marido após a separação e à revelia da mulher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2026-07-28T00:31:50.332Z</dcterms:created>
  <dcterms:modified xsi:type="dcterms:W3CDTF">2026-07-28T00:31:50.332Z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