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Julgado em: </w:t>
      </w:r>
      <w:r>
        <w:t xml:space="preserve">02/12/1985</w:t>
      </w:r>
    </w:p>
    <w:p/>
    <w:p>
      <w:r>
        <w:t xml:space="preserve">SEPARAÇÃO DE FATO — FIGURAÇÃO APENAS DO NOME DA REQUERENTE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Justifica-se "data venia", o pedido de registro dos menores, figurando a requerente como sua mãe, comprovada a existência dessa relação. - Por força do disposto no art. 46 da Lei 6.015, é um direito de todas as pessoas obter seu registro de nascimento e, em função do princípio: "mater semper certa est", é o suficiente que a requerente demonstre a relação de maternidade mediante prova simples, pois não é admissível o registro dos filhos sem ao menos contar o nome da mãe que os gerou. Julgado em 03-12-1985 Revista dos Tribunais. Junho, 1986 - Vol. 608 - Pág. 160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Assiste à mãe direito ao registro de seus filhos, figurando apenas o nome da requerente, a qual, embora casada, encontra-se separada de fato do marido.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2026-07-28T00:13:11.092Z</dcterms:created>
  <dcterms:modified xsi:type="dcterms:W3CDTF">2026-07-28T00:13:11.092Z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