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02/12/1985</w:t>
      </w:r>
    </w:p>
    <w:p/>
    <w:p>
      <w:r>
        <w:t xml:space="preserve">SEPARAÇÃO DE FATO — FIGURAÇÃO APENAS DO NOME DA REQUERENTE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Justifica-se "data venia", o pedido de registro dos menores, figurando a requerente como sua mãe, comprovada a existência dessa relação. - Por força do disposto no art. 46 da Lei 6.015, é um direito de todas as pessoas obter seu registro de nascimento e, em função do princípio: "mater semper certa est", é o suficiente que a requerente demonstre a relação de maternidade mediante prova simples, pois não é admissível o registro dos filhos sem ao menos contar o nome da mãe que os gerou. Julgado em 03-12-1985 Revista dos Tribunais. Junho, 1986 - Vol. 608 - Pág. 160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Assiste à mãe direito ao registro de seus filhos, figurando apenas o nome da requerente, a qual, embora casada, encontra-se separada de fato do marido.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2026-10-26T02:37:16.689Z</dcterms:created>
  <dcterms:modified xsi:type="dcterms:W3CDTF">2026-10-26T02:37:16.689Z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