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Relator: </w:t>
      </w:r>
      <w:r>
        <w:t xml:space="preserve">ALDIR PASSARINHO</w:t>
      </w:r>
    </w:p>
    <w:p/>
    <w:p>
      <w:r>
        <w:t xml:space="preserve">CONSULTA PLEBISCITÁRIA — QUANDO DEVE PRECEDER O PRONUNCIAMENTO DO PLENÁRIO DA ASSEMBLÉIA LEGISLATIVA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parágrafo 4º do art. 18 da CF prevê, portanto, que a criação, a incorporação, a fusão e o desmembramento de Municípios far-se-ão por lei ordinária estadual, com observância dos requisitos estabelecidos em lei complementar, editada pelo próprio Estado-membro, desde que realizada consulta plebiscitária prévia. - A norma constitucional em questão, ao cometer aos Estados-membros a disciplinada sua divisão político-administrativa, afastou-se do modelo jurídico adotado pela Carta de 1969, que atribuía à lei complementar federal a definição dos requisitos mínimos de população e renda pública, bem assim a forma de consulta prévia às populações, para a criação de Municípios (art. 14)". - Da previsão normativa constante de lei complementar estadual que indique o órgão destinatário da representação subscrita por eleitores, com o objetivo de fazer instaurar, no âmbito da Assembléia Legislativa, o processo de criação de municípios, não parece derivar qualquer relação de conflito com a disciplina jurídica estabelecida pela Constituição Federal. - ................................................... - Nesse sentido, o julgamento da ADIn 475-AL (liminar) em que o Min. MOREIRA ALVES, relator, salientou, "verbis": "De outra parte, dada a iminência da realização da consulta plebiscitária (...), caracteriza-se o "periculum in mora", como, em casos análogos, tem decidido esta Corte". - A iminência da realização do plebiscito, em situações como a destes autos, tem levado o Supremo Tribunal Federal a deferir cautelarmente a suspensão de sua efetivação. Esse entendimento sempre prevaleceu nesta Corte, quer sob a ordem con stitucional vigente (ADIn 222-RJ, Rel. Min. ALDIR PASSARINHO), quer sob o regime da Carta Política anterior (RTJ 127/809), pelas razões tão bem sintetizadas pelo em. Min. SYDNEY SANCHES no voto que proferiu, como relator, na Rp. 1.466-RS (RTJ 127/810), "verbis": "E a proximidade da data marcada para o plebiscito (...) evidencia que a demora no julgamento traz riscos de despesas inúteis pela Justiça Eleitoral e de quebra da ordem pública pela frustração da vontade popular, se vier a ser manifestada e, depois, contrariada". Ac. de 18-12-1991 DJU 2-4-1993 Revista dos Tribunais - Setembro de 1993 - Vol. 695 - Pág. 233 EMFOR 554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consulta plebiscitária, no processo de institucionalização dos Municípios, deve preceder - enquanto instrumento de participação popular na formação das decisões estatais - o pronunciamento do Plenário da Assembléia Legislativa, consoante impõe o art. 18, parágrafo 4º, da CF.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2026-10-26T03:20:04.215Z</dcterms:created>
  <dcterms:modified xsi:type="dcterms:W3CDTF">2026-10-26T03:20:04.215Z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