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MS 7.421</w:t>
      </w:r>
    </w:p>
    <w:p/>
    <w:p>
      <w:r>
        <w:t xml:space="preserve">voto, por seus fundamentos, negado provimento aos recursos. 
Ac. de 21-08-1997
Revista dos Tribunais, Dezembro de 1997 — pág. 236
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Municípios têm competência para regular o horário do comércio local, desde que não infrinjam leis estaduais ou federais válidas. Referência: C F, art. 5º, XV. letra K, 28, II, letra b e 149 RMS 7.421, de 20.06.60; RMS 11.291, de 12.06.63 (D.J. de 08.08.63, p. 645). DJ 124, de 8 de julho de 1964 - Adendo nº 2 - pág. 2.238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2026-10-26T02:20:20.552Z</dcterms:created>
  <dcterms:modified xsi:type="dcterms:W3CDTF">2026-10-26T02:20:20.552Z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