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MS 7.421</w:t>
      </w:r>
    </w:p>
    <w:p/>
    <w:p>
      <w:r>
        <w:t xml:space="preserve">voto, por seus fundamentos, negado provimento aos recursos. 
Ac. de 21-08-1997
Revista dos Tribunais, Dezembro de 1997 — pág. 236
EMFOR 593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Municípios têm competência para regular o horário do comércio local, desde que não infrinjam leis estaduais ou federais válidas. Referência: C F, art. 5º, XV. letra K, 28, II, letra b e 149 RMS 7.421, de 20.06.60; RMS 11.291, de 12.06.63 (D.J. de 08.08.63, p. 645). DJ 124, de 8 de julho de 1964 - Adendo nº 2 - pág. 2.238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2026-06-17T16:54:04.962Z</dcterms:created>
  <dcterms:modified xsi:type="dcterms:W3CDTF">2026-06-17T16:54:04.962Z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