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NUNCIAÇÃO DE OBRA NOVA</w:t>
      </w:r>
    </w:p>
    <w:p>
      <w:r>
        <w:rPr>
          <w:i/>
          <w:iCs/>
          <w:color w:val="666666"/>
        </w:rPr>
        <w:t xml:space="preserve">CAUÇÃO PARA PROSSEGUIMENTO DA OBRA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PERDAS E DANOS — EMPRESAS COMERCIAIS - JUROS APLICÁVEIS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poucos períodos o acórdão recorrido fundamentou bem sua conclusão: "Na hipótese, trata-se de obrigação de pagamento em dinheiro, onde as perdas e danos consistem nos juros da mora, segundo a regra do art. 1.061, do Código Civil. É de tradição da jurisprudência o conceito de que os juros da mora valem por uma pena em que incorre o devedor remisso, nos casos de obrigações de pagamento em dinheiro (Rev. dos Tribs. 336/198, 337/167). Descabida, portanto, a pretensão da autora, da forma como a colocou em juízo." - É certo que o art. 1.061, do Código Civil tem recebido críticas. AGOSTINHO ALVIM, com efeito, no trecho citado no acórdão tacha a regra de injusta. E iníqua é, tanto mais que os juros tabelados pelo ordenamento jurídico são notoriamente inferiores aos reais. - Mas, não é neste recurso que se pode afastar a injustiça. Isto porque, consoante se lê na inicial a empresa recorrente quer um ressarcimento equivalente as taxas de interesse do mercado financeiro, o que evidentemente contrariaria a lei de usura e até disposição constitucional. Ac. de 12-11-1990 DJ de 3-12-1990 Arquivo do EMFOR - STJ/282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perdas e danos por inexecução de obrigação de pagamento em dinheiro, entre empresas comerciais, não podem consistir em juros às taxas de mercado.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2026-07-27T23:32:01.552Z</dcterms:created>
  <dcterms:modified xsi:type="dcterms:W3CDTF">2026-07-27T23:32:01.552Z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