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RESCISÓRIA DE CONTRATO</w:t>
      </w:r>
    </w:p>
    <w:p/>
    <w:p>
      <w:r>
        <w:rPr>
          <w:b/>
          <w:bCs/>
        </w:rPr>
        <w:t xml:space="preserve">Recurso: </w:t>
      </w:r>
      <w:r>
        <w:t xml:space="preserve">RE 72.176</w:t>
      </w:r>
    </w:p>
    <w:p>
      <w:r>
        <w:rPr>
          <w:b/>
          <w:bCs/>
        </w:rPr>
        <w:t xml:space="preserve">Julgado em: </w:t>
      </w:r>
      <w:r>
        <w:t xml:space="preserve">17/04/1986</w:t>
      </w:r>
    </w:p>
    <w:p/>
    <w:p>
      <w:r>
        <w:t xml:space="preserve">QUALIFICAÇÃO DE ENTIDADES COMO — DISPÕE SOBRE</w:t>
      </w:r>
    </w:p>
    <w:p/>
    <w:p>
      <w:pPr>
        <w:pStyle w:val="Heading2"/>
      </w:pPr>
      <w:r>
        <w:rPr>
          <w:b/>
          <w:bCs/>
        </w:rPr>
        <w:t xml:space="preserve">Ementa</w:t>
      </w:r>
    </w:p>
    <w:p>
      <w:r>
        <w:t xml:space="preserve">LEI Nº 9.637, DE 15 DE MAIO DE 1998 Dispõe sobre a qualificação de entidades como organizações sociais, a criação do Programa Nacional de Publicização, a extinção do Laboratório Nacional de Luz Síncroton e da Fundação Roquette Pinto e a absorção de suas atividades por organizações sociais, e dá outras providências. O Presidente da República Faço saber que o Congresso Nacional decreta e eu sanciono a seguinte Lei: CAPÍTULO I - DAS ORGANIZAÇÕES SOCIAIS Seção I - Da Qualificação Art. 1° O Poder Executivo poderá qualificar como organizações sociais pessoas jurídicas de direito privado, sem fins lucrativos, cujas atividades sejam dirigidas ao ensino, à pesquisa científica, ao desenvolvimento tecnológico, à proteção e preservação do meio ambiente, à cultura e à saúde, atendidos aos requisitos previstos nesta Lei. Art. 2° São requisitos específicos para que as entidades privadas referidas no artigo anterior habilitem-se à qualificação como organização social: I - comprovar o registro de seu ato constitutivo, dispondo sobre: a) natureza social de seus objetivos relativos à respectiva área de atuação; b) finalidade não-lucrativa, com a obrigatoriedade de investimento de seus excedentes financeiros no desenvolvimento das próprias atividades; c) previsão expressa de a entidade ter, como órgãos de deliberação superior e de direção, um conselho de administração e uma diretoria definidos nos termos do estatuto, asseguradas àquele composição e atribuições normativas e de controle básicas previstas nesta Lei; d) previsão de participação, no órgão colegiado de deliberação superior, de representantes do Poder Público e de membros da comunidade, de notória capacidade profissional e idoneidade moral; e) composição e atribuições da diretoria; f) obrigatoriedade de publicação anual, no Diário Oficial da União, dos relatórios financeiros e do relatório de execução do contrato de gestão; g) no caso de associação civil, a aceitação de novos associados, na forma do estatuto; h) proibição de distribuição de bens ou de parcela do patrimônio líquido em qualquer hipótese, inclusive em razão de desligamento, retirada ou falecimento de associado ou membro da entidade; i) previsão de incorporação integral do patrimônio, dos legados ou das doações que lhe foram destinados, bem como dos excedentes financeiros decorrentes de suas atividades, em caso de extinção ou desqualificação, ao patrimônio de outra organização social qualificada no âmbito da União, da mesma área de atuação, ou ao patrimônio da União, dos Estados, do Distrito Federal ou dos Municípios, na proporção dos recursos e bens por estes alocados; II - haver aprovação, quanto à conveniência e oportunidade de sua qualificação como organização social, do Ministro ou titular de órgão supervisor ou regulador da área de atividade correspondente ao seu objeto social e do Ministro de Estado da Administração Federal e Reforma do Estado. Seção II - Do Conselho de Administração Art. 3° O conselho de administração deve estar estruturado nos termos que dispuser o respectivo estatuto, observados, para os fins de atendimento dos requisitos de qualificação, os seguintes critérios básicos: I - ser composto por: a) 20 a 40% (vinte a quarenta por cento) de membros natos representantes do Poder Público, definidos pelo estatuto da entidade; b) 20 a 30% (vinte a trinta por cento) de membros natos representantes de entidades da sociedade civil, definidos pelo estatuto; c) até 10% (dez por cento), no caso de associação civil, de membros eleitos dentre os membros ou os associados; d) 10 a 30% (dez a trinta por cento) de membros eleitos pelos demais integrantes do conselho, dentre pessoas de notória capacidade profissional e reconhecida idoneidade moral; e) até 10% (dez por cento) de membros indicados ou eleitos na forma estabelecida pelo estatuto; II - os membros eleit os ou indicados para compor o conselho devem ter mandato de quatro anos, admitida uma recondução; III - os representantes de entidades previstos nas alíneas "a" e "b" do inciso I devem corresponder a mais de 50% (cinqüenta por cento) do conselho; IV - o primeiro mandato de metade dos membros eleitos ou indicados deve ser de dois anos, segundo critérios estabelecidos no estatuto; V - o dirigente máximo da entidade deve participar das reuniões do conselho, sem direito a voto; VI - o conselho deve reunir-se ordinariamente, no mínimo, três vezes a cada ano e, extraordinariamente, a qualquer tempo; VII - os conselheiros não devem receber remuneração pelos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2026-07-28T01:49:00.522Z</dcterms:created>
  <dcterms:modified xsi:type="dcterms:W3CDTF">2026-07-28T01:49:00.522Z</dcterms:modified>
</cp:coreProperties>
</file>

<file path=docProps/custom.xml><?xml version="1.0" encoding="utf-8"?>
<Properties xmlns="http://schemas.openxmlformats.org/officeDocument/2006/custom-properties" xmlns:vt="http://schemas.openxmlformats.org/officeDocument/2006/docPropsVTypes"/>
</file>