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46.213</w:t>
      </w:r>
    </w:p>
    <w:p/>
    <w:p>
      <w:r>
        <w:t xml:space="preserve">REQUISITOS PARA A APLICAÇÃO DA PENALIDADE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Cobrança excessiva, mas de boa fé, não dá lugar às sanções do artigo 1.531 do Código Civil. Referência: Reclamação 461, de 15.07.63 (D. de Just. de 10.10.63, p. 977) RE 46.213, de 24.07.62; RE 48.893, de 17.10.61; RE 48.986, de 17.10.61; AG 23.317, de 24.01.61; AG 26.478, de 16.11.62. Aprovada em Sessão de 13-12-1963 - pág. 86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2026-07-28T00:12:43.021Z</dcterms:created>
  <dcterms:modified xsi:type="dcterms:W3CDTF">2026-07-28T00:12:43.021Z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