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21/03/1985</w:t>
      </w:r>
    </w:p>
    <w:p/>
    <w:p>
      <w:r>
        <w:t xml:space="preserve">CORREÇÃO MONETÁRIA — RECONVENÇÃO PROCEDENTE - A PARTIR DE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há, de outro lado, negativa de vigência do art. 1.531 do Código Civil. O acórdão recorrido, confirmando a sentença de primeiro grau, aplicou-o tendo em vista as duas hipóteses de sua regência, e considerando apenas configurado o primeiro caso dos previstos na norma, determinou, diante dos pressupostos de fato que examinou ser cabível o pagamento em dobro da quantia demandada e já paga. Não só razoável o entendimento diante dos fatos tidos como incontroversos (Súmula nº 400) (*), como seria incabível o reexame destes para justificar uma diversa incidência da norma (Súmula nº 279). (**). - Não tem razão, também, a Recorrente quando vê ofendido o art. 153, § 3º, da Constituição, aliás, não prequestionado, como suporte para contestar a suposta retroatividade que se teria dado à Lei nº 6.899, no estabelecer o acórdão, consoante com a sentença do primeiro grau, que a correção monetária incidente sobre o pagamento das remunerações devidas aos autores seria de correr a partir do momento em que elas eram devidas. - Cumpre verificar que tais débitos resultam obviamente de culpa contratual, pois dessa natureza é o comportamento da empresa que omite a paga devida aos seus diretores, estipulada nas atas de suas assembléias. Ora, pacífica é a jurisprudência de que em tais casos, a dívida se caracteriza como de valor e deva ser corrigida desde o momento em que ocorreu a privação do ganho por quem a ele fazia jus. - No que tange à condenação em quantia certa a que os Autores foram condenados a pagar à Recorrente, como reconvinte, a correção monetária e os juros viriam na liquidação mesmo independente do pedido e da decisão . Entretanto, o silêncio do acórdão a respeito, mesmo provocado por embargos de declaração, deve ser interpretado como uma recusa, ao contrário da conhecida parêmia. - Como as condenações são recíprocas e serão submetidas à compensação, seria injurídico que umas, e não outras, comparecessem desatualizadas monetariamente. Com relação ao quantitativo em favor da Recorrente, o termo inicial da correção monetária terá de ser necessariamente o da data do ajuizamento da ação, e não só pelo disposto na Lei nº 6.899, quanto porque, somente a partir do mesmo ajuizamento é que se configurou o pressuposto de pagamento em dobro, com fulcro no art. 1.531 do Código Civil. - Pelo exposto, conheço, em parte, do recurso, e nessa parte dou provimento para determinar que o pagamento da importância de Cr$ 549.000,00, a que foram condenados os Autores e recorridos, em favor da Recorrente, seja corrigida monetariamente a partir do ajuizamento da ação e que os juros moratórios, em qualquer dos casos, seja a favor da Recorrente ou dos Recorridos, sejam contados desde a citação inicial. Julgado em 22-03-1985 Revista Trimestral de Jurisprudência. Julho, 1985 - Vol. 113 - Pág. 437 (*) "Decisão que deu razoável interpretação à lei, ainda que não seja a melhor, não autoriza recurso extraordinário pela letra "a" do art. 101, III, da Constituição Federal." ("EMFOR", Nº101, t. RECURSO EXTRAORDINÁRIO, st. OFENSA À LEI FEDERAL). (**) "Para simples reexame de prova não cabe recurso extraordinário." ("EMFOR", Nº 193, t. RECURSO EXTRAORDINÁRIO, st. PROVA).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cobrança por dívida já paga se dá em demanda judicial, em que o autor foi condenado, na reconvenção, ao pagamento em dobro do que cobrou, a correção monetária só é cabível a partir do ajuizamento da ação, quer em face do art. 1.531 do CC, quer da Lei nº 6.899/81.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2026-10-26T02:32:02.348Z</dcterms:created>
  <dcterms:modified xsi:type="dcterms:W3CDTF">2026-10-26T02:32:02.348Z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