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19/06/1985</w:t>
      </w:r>
    </w:p>
    <w:p/>
    <w:p>
      <w:r>
        <w:t xml:space="preserve">FALTA AO DEVER MORAL DE SUSTENTAÇÃO, GUARDA E EDUCAÇÃO —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no conceito moderno, o pátrio poder ganhou características próprias, sendo muito mais de um "pátrio dever", do que um "pátrio poder". - Desapareceu, realmente, a potestas, cedendo as prerrogativas do pai lugar aos interesses do filho. - Os direitos dos filhos sobrelevam de tal forma os dos pais, que não mais se poderia conceber a existência de um poder paterno como complexo de direitos, puramente, mas ao contrário, só se admite como conjunto de deveres dos pais para com os filhos. - Daí, dizer com razão, a doutrina que o pátrio poder se caracteriza como um instituto de caráter eminentemente protetivo em que, a par de uns poucos direitos, se encontram sérios e pesados deveres a cargo de seu titular. - A matéria, em verdade, transcende a órbita do Direito Privado, para ingressar no âmbito de Direito Público. - No caso, ambos os pais reconheceram a filha ilegítima. Em princípio, a ambos compete o pátrio poder. Mas exerce-o a mulher que tem a guarda do filho, segundo o magistério do Prof. SILVIO RODRIGUES (Dir. Civil - Dir. de Família, pág. 356): - A verdade nua e crua é que o apelado, de há muito, melhor dizendo, desde o nascimento da filha, dela se descuidou. - Não lhe deu a menor assistência, prestando-lhe alimentos ou outra forma de assistência. Sequer moral ou social. - Simplesmente deixou-a sob exclusiva e única responsabilidade da apelante, abandonou-a deveras. - Abandono, segundo se entende, não é apenas o ato de deixar o filho sem assistência material, fora do lar. mas o descaso intencional pela sua criação, educação e moralidade. - Intencionalmente, o réu, que é homem de formação universitária, bacharel e tem ganh os razoáveis, preferiu levar sua vida sem qualquer compromisso com a filha reconhecida. - Isto é abandono a justificar a perda do pátrio poder. - E tanto é exato que o próprio recorrido, por seu advogado firmou documento, através do qual abdicava do pátrio poder que possui sobre a menor, para se utilizar da redação dada àquele "acordo". - Não interessa a análise da validade, ou não, do documento. O que faz ele realçar de modo bem nítido, é a intenção do recorrido de abrir mão do pátrio poder, confirmando assim, seu total desinteresse pela sorte da filha. - E o abandono a que relegou a filha autoriza a procedência da ação, destituindo o pai do pátrio poder. - Diante do exposto, fica provido o apelo para se ter a ação como procedente destituindo o réu do pátrio poder sobre sua filha. Julgado em 20-06-1985 Revista dos Tribunais. Vol. 605 - Pág. 49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desinteresse do pai pelo filho menor, faltando com o dever moral e legal de sustentação, guarda e educação configura abandono, acarretando sanção civil representada pela perda do pátrio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2026-10-26T06:03:32.469Z</dcterms:created>
  <dcterms:modified xsi:type="dcterms:W3CDTF">2026-10-26T06:03:32.469Z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