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 46.662</w:t>
      </w:r>
    </w:p>
    <w:p/>
    <w:p>
      <w:r>
        <w:t xml:space="preserve">DÍVIDAS POSTERIORES A 19-12-1946 — EXCLUSÃO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incluem no reajustamento pecuário dívidas contraídas posteriormente a 19.12.46. Referência: - Lei nº 209, de 02.01.48, artigo 1º; - Lei 1.002, de 24.12.49, artigo 1º. RE 46.662, de 03.01.61; ERE 46.816, de 27.07.62; AG 15.561, de 19.08.52 (D. de Just. de 14.03.55, p. 1.055). Aprovada em Sessão de 13-12-1963 - pág. 95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2026-07-27T23:45:44.008Z</dcterms:created>
  <dcterms:modified xsi:type="dcterms:W3CDTF">2026-07-27T23:45:44.008Z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