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RESCISÓRIA DE CONTRATO</w:t>
      </w:r>
    </w:p>
    <w:p/>
    <w:p>
      <w:r>
        <w:rPr>
          <w:b/>
          <w:bCs/>
        </w:rPr>
        <w:t xml:space="preserve">Recurso: </w:t>
      </w:r>
      <w:r>
        <w:t xml:space="preserve">RE 46.662</w:t>
      </w:r>
    </w:p>
    <w:p/>
    <w:p>
      <w:r>
        <w:t xml:space="preserve">DÍVIDAS POSTERIORES A 19-12-1946 — EXCLUSÃO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incluem no reajustamento pecuário dívidas contraídas posteriormente a 19.12.46. Referência: - Lei nº 209, de 02.01.48, artigo 1º; - Lei 1.002, de 24.12.49, artigo 1º. RE 46.662, de 03.01.61; ERE 46.816, de 27.07.62; AG 15.561, de 19.08.52 (D. de Just. de 14.03.55, p. 1.055). Aprovada em Sessão de 13-12-1963 - pág. 95 EMENTÁRIO FORENSE. Janeiro, 1965. Ano XVII. Nº 194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2026-10-26T04:57:24.195Z</dcterms:created>
  <dcterms:modified xsi:type="dcterms:W3CDTF">2026-10-26T04:57:24.195Z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