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105.834-0</w:t>
      </w:r>
    </w:p>
    <w:p>
      <w:r>
        <w:rPr>
          <w:b/>
          <w:bCs/>
        </w:rPr>
        <w:t xml:space="preserve">Julgado em: </w:t>
      </w:r>
      <w:r>
        <w:t xml:space="preserve">15/12/1985</w:t>
      </w:r>
    </w:p>
    <w:p/>
    <w:p>
      <w:r>
        <w:t xml:space="preserve">SE OBSTA O CREDOR DE EXERCER O SEU DIREITO DE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Vencíveis contratualmente e exigíveis se achavam, pois, à data do ajuizamento da execução, os títulos de créditos arrolados nas letras a e b acima. Os demais foram consideráveis exigíveis Embora ainda não atingindo o termo final neles estipulado, sob arrimo no art. 11, § 1º, do Decreto-lei nº 167/67. De qualquer sorte, à época da citação, ocorrida após 30.10.82, vencidas se achavam todas as notas de crédito rural indicadas na letra c. Como dito, o único título garantido pelo penhor mercantil, de café é o primeiro descrito." - Em consequência, não poderia o exequente ser prejudicado no todo de seu crédito, quando apenas parte - a garantia pelo penhor de café - era impugnada. - Por outro lado, deslembrou-se o acórdão de que o penhor é acessório, garantia do crédito e não pagamento deste. - Extingue-se o penhor com a extinção da obrigação principal, ensina FRAN MARTINS: "Contrato acessório não persiste uma vez desaparecida a obrigação a cujo cumprimento servia de garantia. Em tais condições, qualquer que seja a causa extintiva da obrigação - pagamento, renovação, doação, remissão anulação, a prescrição, etc. - tem como efeito lógico a extinção do penhor. - Se entretanto, a extinção da obrigação principal extingue o penhor a recíproca não é verdadeira. - Pode com efeito, o direito do penhor, isto é, o direito que tem o credor de garantir-se com o objeto empenhado pelo cumprimento da obrigação, desaparecer sem que seja extinta a obrigação principal. Ocorre esse fato pelo caráter acessório do contrato de penhor, que não confunde garantia supletiva deste contrato com a obrigação principal. Assim, por exemplo, extingue-se o penhor com o perecimento da coisa empenhada, com a renúncia do credor à garantia do penhor, com a adjudic ação judicial, remissão ou venda amigável do objeto, se o contrato permitir, ou pela confusão na mesma pessoa das qualidades de credor ou devedor (CC, art. 802, II, III, IV e V)". (FRAN MARTINS, Contratos e Obrigações Comerciais - EMFOR nº 290, pág. 421). - Por outro lado diz o jurista citado: "A dívida será considerada vencida se perecer o objeto dado em garantia (CC, art. 762, IV). Repousa o contrato de penhor na coisa oferecida pelo devedor ao credor em garantia do cumprimento da obrigação . Perecendo a coisa dada em penhor, verifica-se o vencimento da obrigação, podendo o credor exercer seu direito para receber a importância da dívida." - Em princípio o penhor é transferido ao credor, porém, em se tratando do penhor rural, a exceção da regra geral estabelecida pelo art. 769, do Código, o objeto do penhor permanece "na posse imediata do emitente" (art. 17 do Decreto-lei nº 167/67), como sustenta a sentença. - De qualquer modo, ainda que responsável fosse o credor por culpa, não poderia haver compensação antes de demonstrada e apurada (art. 1.015, II, do Código Civil). - Por esses motivos e pelos que aduzi no RE nº 105.834-0 - SP, de que fui relator, conheço do recurso e lhe dou provimento. Julgado em 16-12-1985 Revista Trimestral de Jurisprudência. Vol. 116 - Pág. 1.275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perecimento da coisa dada em penhor não obsta o credor de, validamente, exercer o seu direito para receber a importância da dívida.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2026-07-28T00:08:05.906Z</dcterms:created>
  <dcterms:modified xsi:type="dcterms:W3CDTF">2026-07-28T00:08:05.906Z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