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PROMITENTE COMPRADOR</w:t>
      </w:r>
    </w:p>
    <w:p/>
    <w:p>
      <w:r>
        <w:rPr>
          <w:b/>
          <w:bCs/>
        </w:rPr>
        <w:t xml:space="preserve">Julgado em: </w:t>
      </w:r>
      <w:r>
        <w:t xml:space="preserve">17/06/1985</w:t>
      </w:r>
    </w:p>
    <w:p/>
    <w:p>
      <w:r>
        <w:t xml:space="preserve">FALTA DE BENS ADJUDICADOS — SE AUTORIZA O PROSSEGUIMENTO DA AÇÃO DE EXECUÇÃO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processo correu sem qualquer oposição apesar de ter sido a firma regularmente comunicada de todos os atos, até que houve adjudicação das mercadorias penhoradas como garantia do juízo. - ......................................................................................................................................... - Como o magistrado tenha declarado extinta a execução, porque a adjudicação se dera, contra ela, nenhum recurso fora interposto, a Fazenda Estadual apela para este colegiado, defendendo a tese de que o débito não esta satisfeito em virtude da falta de parte da mercadoria penhorada, conforme auto de entrega, e pleiteia o prosseguimento da execução. - .......................................................................................................................................... - O magistrado depois de tudo julgou extinto o processo mas o Estado não concordou, pois, se faltou parte da mercadoria não está satisfeito o crédito, e por isso deve prosseguir a execução, segundo o apelo voluntário interposto. - "Data venia" do apelo, não vejo como pode prosperar a decisão, digo, pretensão. - Se a mercadoria constritada, com avaliação suficiente ao cumprimento da obrigação foi adjudicada e contra a ele nenhum recurso ou queixa foi feita, tem-se como satisfeita a obrigação, porque, ao se exaurir a prestação jurisdicional os bens em poder do Juízo, continua, eram suficientes para ate nder a pretensão do Estado. - Se os bens foram penhorados, avaliados, leiloados, embora sem licitação e, adjudicados à Fazenda Pública, não se pode dizer que a ação deixou de satisfazer integralmente a autora. - Agora se todos os objetos, ao serem entregues, não corresponderam ao que foi adjudicado, o problema, ao meu ver, fica por conta do depositário, que está sujeito a medidas cabíveis, inclusíveis disciplinares, porque os bens estavam sob a sua guarda, por isso é que ele deve responder pela diferença. - ........................................................................................................................................ - Conheceram do apelo, negando-lhe provimento sem voto divergente. Julgado em 18-06-1985 Revista dos Tribunais. Outubro, 1985. Vol. 600 - Pág. 196 EMFOR 458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Estando os bens, suficientes para a satisfação do débito exigido, penhorados, avaliados e adjudicados à Fazenda Pública, o fato de faltar parte dos objetos garantidores da instância e em mãos do depositário público não constitui razão para prosseguimento da ação de execução, visto já se ter exaurido a prestação jurisdicional, ficando a responsabilidade, única e exclusivamente por conta do funcionário incumbido da guarda das coisas apreendidas judicialmente.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2026-07-28T06:42:41.570Z</dcterms:created>
  <dcterms:modified xsi:type="dcterms:W3CDTF">2026-07-28T06:42:41.570Z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