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Julgado em: </w:t>
      </w:r>
      <w:r>
        <w:t xml:space="preserve">25/02/1986</w:t>
      </w:r>
    </w:p>
    <w:p/>
    <w:p>
      <w:r>
        <w:t xml:space="preserve">TRANSFERÊNCIA DOS BENS POR DISCORDÂNCIA DO CREDOR — SE OBRIGA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..."Data venia" do ilustre Procurador, somos pela manutenção do despacho. - Rigorosamente, a hipótese nem seria de mandado de segurança, pois, a decisão atacada não se reveste de nenhuma ilegalidade, situando-se no âmbito da melhor conveniência quanto ao destino dos bens penhorados. - O artigo 666 diz que os bens móveis irão para o Depósito Público quando o credor não concorda que o credor fique como depositário o devedor. - É preciso, entretanto, que a discordância do credor seja sancionada pelo juiz que tem o poder de decidir sobre o melhor destino dos bens. - Depois trata-se de impugnação do arremate em execução em que terceiro reivindica a propriedade dos bens penhorados. - No mérito, a afirmação de que os bens estariam melhor no Depósito Público, está em conflito com a realidade das coisas. - Trata-se de máquinas de impressão sensíveis e carentes de cuidados especiais. - No depósito estariam abandonadas e empoeiradas. - Nas mãos do devedor, com os ônus do depósito, a par dos aspectos sociais do fato, estariam em pleno funcionamento, situação que melhor se coaduna com a sua preservação. Julgado em 26-02-1986 Arquivo do EMFOR, TA/744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diante da discordância do credor, não está obrigado a transferir os bens penhorados para o Depósito Público, cumprindo-lhe avaliar, em cada caso, a melhor situação em que ficariam os bens do objeto da construção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2026-07-28T02:04:17.963Z</dcterms:created>
  <dcterms:modified xsi:type="dcterms:W3CDTF">2026-07-28T02:04:17.963Z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