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Julgado em: </w:t>
      </w:r>
      <w:r>
        <w:t xml:space="preserve">30/09/1985</w:t>
      </w:r>
    </w:p>
    <w:p/>
    <w:p>
      <w:r>
        <w:t xml:space="preserve">SE CONFIGURA EXCESSO DE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...Com louvável zelo agiu o eminente julgador ao rejeitar liminarmente os presentes embargos, à evidência incabíveis. - De fato, a matéria não se encontra elencada nas hipóteses do artigo 741 do Código de Processo Civil e, como é de curial sabença, excesso de penhora não configura excesso de execução. - Dessarte, eventual excesso na penhora não ensejará embargos à execução, conforme pacífico entendimento doutrinário e jurisprudencial (por todos THEOTONIO NEGRÃO, Código de Processo Civil, 13ª Edição, pág. 252). - Daí o desprovimento recursal. Julgado em 01-10-1985 Arquivo do EMFOR, TA/746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Excesso de penhora não configura excesso de execução e, portanto, não enseja embargos.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2026-10-26T05:42:56.873Z</dcterms:created>
  <dcterms:modified xsi:type="dcterms:W3CDTF">2026-10-26T05:42:56.873Z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