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Julgado em: </w:t>
      </w:r>
      <w:r>
        <w:t xml:space="preserve">30/09/1985</w:t>
      </w:r>
    </w:p>
    <w:p/>
    <w:p>
      <w:r>
        <w:t xml:space="preserve">SE CONFIGURA EXCESSO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...Com louvável zelo agiu o eminente julgador ao rejeitar liminarmente os presentes embargos, à evidência incabíveis. - De fato, a matéria não se encontra elencada nas hipóteses do artigo 741 do Código de Processo Civil e, como é de curial sabença, excesso de penhora não configura excesso de execução. - Dessarte, eventual excesso na penhora não ensejará embargos à execução, conforme pacífico entendimento doutrinário e jurisprudencial (por todos THEOTONIO NEGRÃO, Código de Processo Civil, 13ª Edição, pág. 252). - Daí o desprovimento recursal. Julgado em 01-10-1985 Arquivo do EMFOR, TA/746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Excesso de penhora não configura excesso de execução e, portanto, não enseja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2026-07-28T03:53:54.553Z</dcterms:created>
  <dcterms:modified xsi:type="dcterms:W3CDTF">2026-07-28T03:53:54.553Z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