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PROMITENTE COMPRADOR</w:t>
      </w:r>
    </w:p>
    <w:p/>
    <w:p>
      <w:r>
        <w:rPr>
          <w:b/>
          <w:bCs/>
        </w:rPr>
        <w:t xml:space="preserve">Recurso: </w:t>
      </w:r>
      <w:r>
        <w:t xml:space="preserve">re 50</w:t>
      </w:r>
    </w:p>
    <w:p>
      <w:r>
        <w:rPr>
          <w:b/>
          <w:bCs/>
        </w:rPr>
        <w:t xml:space="preserve">Julgado em: </w:t>
      </w:r>
      <w:r>
        <w:t xml:space="preserve">09/04/1985</w:t>
      </w:r>
    </w:p>
    <w:p/>
    <w:p>
      <w:r>
        <w:t xml:space="preserve">INCIDÊNCIA SOBRE 50% DESTE — SE É 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saber se, em execução fiscal promovida pela embargada contra sociedade de responsabilidade limitada, pode a penhora recair sobre 50% de imóvel gravado por garantia hipotecária, correspondente a parte ideal do cônjuge varão, responsável por substituição pelo pagamento do crédito tributário. - A r. sentença respondeu afirmativamente, mas o ilustre Magistrado não decidiu com o costumeiro acerto. - Conquanto inexistia óbice legal à penhora de bens hipotecados, desde que intimado o credor hipotecário (RT 541/268), a incidência do ato constritivo sobre a metade ideal de imóvel integralmente onerado por hipoteca importaria desconsideração à regra do art. 758 do CC, que consagra o princípio da indivisibilidade do direito real da garantia. - A propósito, são oportunas as ponderações expendidas pelo insigne PAULO RESTIFFE NETO, apoiado no escólio de LAFAYETTE, extraídas de sua festejada monografia ("Garantia Fiduciária", 1975 nº64, p. 195) e reproduzidas em sentença proferida pelo eminente Magistrado ao tempo de sua judicatura na comarca da Capital. - Nesse sentido também as observações de CLÓVIS ao art. 758 do CC, adiante transcritas: "O direito real de garantia é indivisível. Ainda quando a obrigação e o objeto, sobre que recai o direito de crédito, sejam divisíveis. O vínculo jurídico da garantia real será indivisível. Quer isto dizer: 1º) Que subsiste inteiro sobre os bens dados em garantia e sobre cada uma de suas partes. É o que LACERDA chama integralidade. 2º) Que não se fraciona, não se adquire, nem se perde por partes. "A integralidade é da essência do vínculo real de garantia. Quanto acrescer à coisa, se lhe submete. "Est totum in toto et in qualibet p arte", seja lícito dizer modificando, ligeiramente, a repetida frase de DUMOLIN. A indivisibilidade, propriamente dita, do vínculo não é da essência da relação jurídica: é criação da lei, em benefício do crédito. Por isto, as partes podem afastá-la quer no título constitutivo, quer em ato posterior, quando o devedor solve uma parte da dívida" ("Código Civil", 11ª ed., 1958, 3/260). - A admissão da penhora sobre parte ideal, no caso, traria como consequência a divisão ulterior do bem objeto da garantia, desde que o imóvel hipotecado seria reduzido à metade, pertencendo o outro quinhão ao arrematante, sem que para tanto concorresse o consenso da credora hipotecária, com manifesta postergação ao comando derivado do art. 758 do CC. - A apelação, portanto, fica provida e julgados procedentes os embargos de terceiro, revertidos os ônus da sucumbência, com observância da franquia legal. - Com essas considerações, dão provimento ao recurso. Julgado em 10-04-1985 Revista dos Tribunais. Julho, 1985 - Vol. 597 - Pág. 94 EMFOR 449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real de garantia é indivisível. Mesmo que a obrigação e o objeto sobre que recai o direito de crédito, sejam divisíveis, o vínculo jurídico da garantia real será indivisível.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2026-10-26T02:14:46.473Z</dcterms:created>
  <dcterms:modified xsi:type="dcterms:W3CDTF">2026-10-26T02:14:46.473Z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