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>
      <w:r>
        <w:rPr>
          <w:b/>
          <w:bCs/>
        </w:rPr>
        <w:t xml:space="preserve">Recurso: </w:t>
      </w:r>
      <w:r>
        <w:t xml:space="preserve">Apelação 37.892</w:t>
      </w:r>
    </w:p>
    <w:p>
      <w:r>
        <w:rPr>
          <w:b/>
          <w:bCs/>
        </w:rPr>
        <w:t xml:space="preserve">Relator: </w:t>
      </w:r>
      <w:r>
        <w:t xml:space="preserve">RENATO MANESCHY</w:t>
      </w:r>
    </w:p>
    <w:p/>
    <w:p>
      <w:r>
        <w:t xml:space="preserve">SE NO PRIVILÉGIO SE INCLUEM AS SOCIEDADES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THEOTÔNIO NEGRÃO traz a seguinte nota a esse dispositivo: "O art. 649, VI, do CPC só se refere àqueles que vivem do trabalho pessoal próprio não se aplicando à firma comercial, seja individual ou coletiva (RTFR 124/173). Neste sentido: "Processo Civil e Legislação Processual em Vigor", Ed. RT, 9ª ed., nota 27, pág. 326. Ac. de 26-02-1991 Rev. dos Tribunais - Jul. de 1991 - Vol. 669 - Pág. 130 NO MESMO SENTIDO: Apelação nº 37.892, I Tr. Alçada Rio de Janeiro - 4ª C., Relator: Juiz RENATO MANESCHY, ac. de 4-12-1979, in "EMFOR", Nº 388.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benefício da impenhorabilidade dos bens necessários ou úteis ao exercício da profissão previsto no art. 649, VI, do CPC, é restrito ao trabalho pessoal próprio, não se aplicando à pessoa jurídica.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2026-07-28T02:04:01.059Z</dcterms:created>
  <dcterms:modified xsi:type="dcterms:W3CDTF">2026-07-28T02:04:01.059Z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