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Recurso: </w:t>
      </w:r>
      <w:r>
        <w:t xml:space="preserve">Apelação 37.892</w:t>
      </w:r>
    </w:p>
    <w:p>
      <w:r>
        <w:rPr>
          <w:b/>
          <w:bCs/>
        </w:rPr>
        <w:t xml:space="preserve">Relator: </w:t>
      </w:r>
      <w:r>
        <w:t xml:space="preserve">RENATO MANESCHY</w:t>
      </w:r>
    </w:p>
    <w:p/>
    <w:p>
      <w:r>
        <w:t xml:space="preserve">SE NO PRIVILÉGIO SE INCLUEM AS SOCIEDADES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THEOTÔNIO NEGRÃO traz a seguinte nota a esse dispositivo: "O art. 649, VI, do CPC só se refere àqueles que vivem do trabalho pessoal próprio não se aplicando à firma comercial, seja individual ou coletiva (RTFR 124/173). Neste sentido: "Processo Civil e Legislação Processual em Vigor", Ed. RT, 9ª ed., nota 27, pág. 326. Ac. de 26-02-1991 Rev. dos Tribunais - Jul. de 1991 - Vol. 669 - Pág. 130 NO MESMO SENTIDO: Apelação nº 37.892, I Tr. Alçada Rio de Janeiro - 4ª C., Relator: Juiz RENATO MANESCHY, ac. de 4-12-1979, in "EMFOR", Nº 388.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benefício da impenhorabilidade dos bens necessários ou úteis ao exercício da profissão previsto no art. 649, VI, do CPC, é restrito ao trabalho pessoal próprio, não se aplicando à pessoa jurídica.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2026-10-26T01:57:59.844Z</dcterms:created>
  <dcterms:modified xsi:type="dcterms:W3CDTF">2026-10-26T01:57:59.844Z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