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Recurso: </w:t>
      </w:r>
      <w:r>
        <w:t xml:space="preserve">Ap 641.772-9</w:t>
      </w:r>
    </w:p>
    <w:p>
      <w:r>
        <w:rPr>
          <w:b/>
          <w:bCs/>
        </w:rPr>
        <w:t xml:space="preserve">Julgado em: </w:t>
      </w:r>
      <w:r>
        <w:t xml:space="preserve">22/10/1996</w:t>
      </w:r>
    </w:p>
    <w:p/>
    <w:p>
      <w:r>
        <w:t xml:space="preserve">IMÓVEL FINANCIADO PELA COHAB — APLICAÇÃO DO ART. 1º DA LEI 8.009/90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Centra-se o debate na questão da penhorabilidade, ou não, de imóvel financiado pela Cohab e destinado a residência de pessoas de baixa renda, em ação na qual se exige pagamento de despesas de condomínio. - Dadas a própria natureza do bem em disputa e a legislação aplicável à espécie, a razão está com a recorrente. - Com efeito, conquanto existam vozes destoantes, a lei da impenhorabilidade afasta de constrição imóvel destinado a residência, preenchidos, como na hipótese vertente, os elementos próprios (Lei 8.009/90, art. 1º). - Não colhe, a propósito, a argüição de existência de exceção para cobrança de despesas de condomínio, pois a lei se refere, apenas, a tributos e contribuições cobradas pelo Poder Público (Cfr. decisão em Ap 641.772-9, 4ª Câm. , 1º TACivSP). - A admissão de gravame importaria, pois, em violação à lei referida e, no caso, em frustração dos objetivos sociais visados pelo Sistema Financeiro da Habitação. - Deve, assim, ser desconstituído o ato de constrição (Cfr. decisão em Ap 668.173-0, 4ª Câm., 1º TACivSP). - Diante do exposto, dá-se provimento ao recurso, com inversão dos ônus. Julgado em 23-10-1996 Revista dos Tribunais, Julho de 1997, vol. 741, pág. 285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impenhorável o imóvel financiado pela Cohab e destinado a residência de pessoas de baixa renda, conforme o disposto no art. 1º da Lei 8.009/90, não podendo ser penhorado nem mesmo sob a argüição de existência de exceção para cobrança de despesas de condomínio, pois o referido texto legal somente admite o gravame quando se tratar de tributos e contribuições cobradas pelo Poder Público. Ademais, a admissão da constrição importaria na frustração dos objetivos sociais visados pelo Sistema Financeiro da Habitação.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2026-07-28T04:12:44.072Z</dcterms:created>
  <dcterms:modified xsi:type="dcterms:W3CDTF">2026-07-28T04:12:44.072Z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