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EMBARGOS DE TERCEIRO</w:t>
      </w:r>
    </w:p>
    <w:p>
      <w:r>
        <w:rPr>
          <w:i/>
          <w:iCs/>
          <w:color w:val="666666"/>
        </w:rPr>
        <w:t xml:space="preserve">PROMITENTE COMPRADOR</w:t>
      </w:r>
    </w:p>
    <w:p/>
    <w:p>
      <w:r>
        <w:rPr>
          <w:b/>
          <w:bCs/>
        </w:rPr>
        <w:t xml:space="preserve">Julgado em: </w:t>
      </w:r>
      <w:r>
        <w:t xml:space="preserve">23/06/1986</w:t>
      </w:r>
    </w:p>
    <w:p/>
    <w:p>
      <w:r>
        <w:t xml:space="preserve">ESPAÇO FÍSICO PARA ARMAÇÃO DE BANCA — SE É PENHORÁVEL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Penhorou-se direito de uso de espaço no mercado municipal. - Esse direito decorreu de negócio jurídico administrativo, em que o Município se vinculou - embora de modo revogável - a permitir ao executado o uso da banca. - Trata-se, em verdade, de espaço físico no qual se pode armar banca ou assemelhado. - o mercado é bem público, mas o direito de usar o espaço dentro dele, segundo destinação legal, é do particular, por permissão do Município. - Há interesse público e particular na relação jurídica irradiada do dito negócio jurídico administrativo celebrado entre o Poder Público e o particular. - É sabido: a dicotomia em que se separam as regras jurídicas de Direito Público e de Direito Privado não é de «essência» (não é de conceito absoluto), mas sim de "preponderância" de interesse. - O homem é social. - O direito respeitante a um membro repercute na sociedade. - E vice-versa. - Resta saber em cada caso o interesse preponderante. - E ter-se-à a natureza da regra jurídica incidente: pública ou privada. - Na espécie, o interesse preponderante é do público. - Mas o direito irradiado na permissão de uso - individualizado na executada a ponto de ser transferível a terceiro, ao menos a terceiro da situação fática e jurídica. - A posição jurídica da executada é a de direito subjetivo particular, a despeito do interesse público existente no exercício desse direito. - Não se cuida de bem público. - É bem particular. Julgado em 24-06-1986 Revista dos Tribunais, Vol. 613 - Pág. 114. EMFOR 465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Mercado municipal é bem público, mas o direito de usar espaço dele, segundo destinação legal, é do particular, por permissão do Município. - Não sendo o bem público e não havendo prova de que por outra causa seja o bem impenhorável, admite-se a penhora.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2026-07-28T02:05:01.194Z</dcterms:created>
  <dcterms:modified xsi:type="dcterms:W3CDTF">2026-07-28T02:05:01.194Z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