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PROMITENTE COMPRADOR</w:t>
      </w:r>
    </w:p>
    <w:p/>
    <w:p>
      <w:r>
        <w:rPr>
          <w:b/>
          <w:bCs/>
        </w:rPr>
        <w:t xml:space="preserve">Recurso: </w:t>
      </w:r>
      <w:r>
        <w:t xml:space="preserve">RE 104.554-0</w:t>
      </w:r>
    </w:p>
    <w:p>
      <w:r>
        <w:rPr>
          <w:b/>
          <w:bCs/>
        </w:rPr>
        <w:t xml:space="preserve">Julgado em: </w:t>
      </w:r>
      <w:r>
        <w:t xml:space="preserve">24/02/1986</w:t>
      </w:r>
    </w:p>
    <w:p/>
    <w:p>
      <w:r>
        <w:t xml:space="preserve">INSCRIÇÃO — FALTA - QUANDO NÃO É OPONÍVEL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caso análogo ao presente, indicado pela recorrente na petição recursal, esta Turma, em 05-03-1985, sendo relator o eminente Ministro MOREIRA ALVES, na linha da jurisprudência deste Supremo Tribunal Federal, conheceu e deu provimento ao RE nº 104.554-0 cuja ementa do acórdão é a seguinte: "Arresto, Embargos de terceiro, Promessa de compra e venda só registrada após o arresto. Assim como ocorre com a penhora, não podem desconstituir o arresto - posteriormente convertido em penhora - embargos de terceiro por parte de promitente comprador que está na posse do imóvel, mas cuja promessa não foi registrada (e, portanto, não é oponível contra terceiro) antes desse ato de constrição judicial. Recurso extraordinário conhecido e provido». - A recorrente traz a a confronto outros acórdãos desta corte, em que se discutiu a mesma matéria destes autos, no sentido da impossibilidade da defesa da posse através de terceiro, quanto a escritura de promessa de venda não foi registrada em tempo hábil. - A matéria é conhecida da Corte com decisões que endossam a tese da recorrente, sendo, inclusive, objeto da Súmula nº 621, que dispõe: «Não enseja embargos de terceiro à penhora a promessa de compra e venda não inscrita no registro de imóvel». - De conformidade com essa orientação, conheço do presente recurso e lhe dou provimento para julgar improcedente os embargos de terceiro, invertendo-se os ônus da sucumbência. Julgado em 25-02-1986 Revista Trimestral de Jurisprudência. Vol. 118 - Pág. 782. EMFOR 465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desconstituição de penhora de imóvel, não serve promessa de compra e venda que ao tempo da constrição não se encontrava inscrita no registro competente.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2026-07-28T02:01:55.734Z</dcterms:created>
  <dcterms:modified xsi:type="dcterms:W3CDTF">2026-07-28T02:01:55.734Z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