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Ap. 116.123-2</w:t>
      </w:r>
    </w:p>
    <w:p/>
    <w:p>
      <w:r>
        <w:t xml:space="preserve">INCIDÊNCIA SOBRE BENS DE SÓCIO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Ademais não houve prova alguma de que as cotas da sociedade estariam integralizadas, conforme exige a lei. E "regra geral que a responsabilidade dos sócios se limita à integralização das cotas, de maneira que, integralizadas, salvo outra razão jurídica especial, seu patrimônio não responderá". Entretanto, há exceções. "Mesmo sem invocação expressa da teoria da desconsideração da personalidade jurídica a justa solução é atribuir responsabilidade ao sócio que subtraiu ou deixou subtrair bens da sociedade levando-a à insolvência". (cf. Ap. 116.123-2 - SP, rel. Des. JOÃO LENZI, in RJTJSP 109/194). Ac. de 19-12-1990 Rev. dos Tribunais - Jul de 1991 - Vol. 669 - Pág. 98.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Válida a penhora que recai sobre bens de sócios por dívida de sociedade por cotas de responsabilidade limitada se inexiste prova da integralização das respectivas cotas e se há confusão entre os bens das pessoas físicas e jurídicas.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2026-10-26T03:22:04.800Z</dcterms:created>
  <dcterms:modified xsi:type="dcterms:W3CDTF">2026-10-26T03:22:04.800Z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