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-</w:t>
      </w:r>
    </w:p>
    <w:p>
      <w:r>
        <w:rPr>
          <w:b/>
          <w:bCs/>
        </w:rPr>
        <w:t xml:space="preserve">Julgado em: </w:t>
      </w:r>
      <w:r>
        <w:t xml:space="preserve">30/06/1985</w:t>
      </w:r>
    </w:p>
    <w:p/>
    <w:p>
      <w:r>
        <w:t xml:space="preserve">PRESTAÇÃO DE INFORMAÇÕES INVERÍDICAS — MATÉRIA IMPRÓPRIA AO MANDADO DE SEGURANÇA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Afigura-se-nos descaber o remédio heróico e especialíssimo de que lançaram mãos os impetrantes, o qual tem pressupostos fixados na Lei, não encontrados no casos do autos. - Como está, tanto na Constituição Federal, como na Lei ordinária, o Mandado de Segurança é medida destinada a suscitar o controle Jurisdicional sobre o ato de qualquer autoridade que por ilegalidade ou abuso de poder, viole ou ameace direito líquido e certo. - Aos impetrantes foi aplicada a medida prevista no art. 147 do CPC., de inabilitação para funcionar em outras perícias, por dois anos, à vista da prova produzida e valorada pelo Órgão Julgador, segundo a qual teriam eles prestado informações inverídicas. Ora na medida expressamente autorizada pela Lei, não se pode tê-la como encerrando uma ilegalidade ou abuso de poder, pressupostos inarredáveis do Mandado de Segurança. - O Órgão fracionário deste Tribunal, no Julgamento dos Recurso a que se referem os impetrantes, após converter tal Julgamento em diligência e nomear perito de sua confiança, louvo-se no laudo por este apresentado, que desmentiu a conclusão dos laudos elaborados pelos mesmo impetrantes. Em conseqüência julgou improcedentes as ações acidentárias e aplicou aos peritos a sanção prevista na Lei. - Certamente não foi apenas porque determinou uma segunda perícia, que não substitui a primeira, mas porque se emprestou à segunda um valor que à primeira se negou, que a decisão impugnada conclui da forma por que o fez e poderia legalmente fazê-lo. - Situa-se nas legítimas atribuições do Julgador complementar, a seu alvedrio, a instrução da causa e, em especial, determinar a r ealização da segunda Perícia, sendo ambas valoradas afinal, como estatui o parágrafo único do art. 439 do CPC. - Não seria possível negar ao Órgão Julgador a faculdade de valoração prevista na Lei, e somente uma prova absolutamente inequívoca e pré-ordenada de que o segundo laudo não retrataria a verdade é que poderia levar a ter-se como ilegal a providência adotada contra os impetrantes, que objetivam discutir "matéria de fato" na via estreita do Mandado de Segurança, questionando o trabalho do "expert" de confiança da Câmara. - ... Como se vê não ressumbra dos autos a evidenciação de a decisão impetrada conter laivos de ilegalidade, nem sequer fumaças de injustiça, se estas pudessem induzir o Tribunal a um exame do caso, inspirado pela predisposição de rebuscar ilegalidade. E demais disto, ausente estava a "ilegalidade manifesta", que só ela, não a simples ilegalidade, e assim mesmo, somada a outras requisitos, todos explicitados no Julgamento do RE 76.909 "justificariam excepcionalmente", de acordo com a Jurisprudência do Supremo Tribunal Federal, o Mandado de Segurança contra Ato Judicial. Julgado em 01-07-1985 Arquivo do EMFOR, TA/692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constitui ilegalidade ou abuso de poder, suscetível de exame na via estreita do Mandado de Segurança, o ato do Juiz que, convencido de que o perito prestou informações inverídicas, lhe aplica a sanção de inabilitação expressamente prevista na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2026-06-17T14:00:43.764Z</dcterms:created>
  <dcterms:modified xsi:type="dcterms:W3CDTF">2026-06-17T14:00:43.764Z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