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Apelação 5.647</w:t>
      </w:r>
    </w:p>
    <w:p/>
    <w:p>
      <w:r>
        <w:t xml:space="preserve">CONCORDÂNCIA TÁCITA DO RÉU — QUANDO OCORRE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Expressamente reconheceu o juízo "a quo" que adotava com isso um "enfoque diverso do proposto no pedido inicial". A tal respeito, cumpre distinguir entre dois fenômenos que podem ocultar-se por sob a chamada diversidade de "enfoque". Cabe ao autor, ninguém o ignora, expor os fatos de que, a seu ver, resulta o direito pleiteado. É lícito ao órgão judicial dar a esses fatos, se for o caso, qualificação jurídica diferente daquela que lhe haja dado na inicial. Se, por exemplo, o autor pretende ver anulado certo contrato e, descrevendo o episódio em que se funda, emprega o termo "erro", em vez de "dolo", que seria o adequado, nada impede que o juiz corrija o equívoco e, eventualmente, desde que se convença da veracidade da narrativa, julgue procedente o pedido, segundo a qualificação correta. Não se admite, porém, que o órgão judicial decida o litígio à luz de fatos que não vejam os alegados na inicial. Aí, na verdade, a mudança do "enfoque" significará alteração da causa de pedir. - Voltando ao exame da espécie, verifica-se que a inicial não contém a mais leve referência, ainda que indireta, à conduta de empregado da Ré. A versão dos fatos constantes da petição resume-se em que o Autor teria contratado com a Ré a compra dos veículos, pagando-lhe determinada importância, e ela não lhe entregara os carros, devendo por isso restituir em dobro o que recebera. Menção ao preposto aparece pela primeira vez, timidamente, na contestação ... e de modo mais extenso na réplica ..., peça onde o Autor passou a explorar esse aspecto do caso. Ocorreu, portanto, de maneira inequívoca, mudança da "causa petendi", cuja ad missibilidade se subordine à aquiescência da Ré (Código de Processo Civil, art. 264, "caput"). - Concordância expressa, diga-se logo, não houve. Mas a lei não exige que ela se manifeste expressamente. E a jurisprudência tem admitido a possibilidade de anuência tácita. O E. Tribunal de Justiça do Distrito Federal, por exemplo, no julgamento da Apelação nº 5.647, assim se pronunciou: "É defeso ao autor modificar o pedido ou a causa de pedir, após a citação, salvo com a concordância do de mandado ... Se o demandado, não impugnar o pedido de ampliação, lícito é concluir pela existência de consentimento tácito, convolando-se, assim, um negócio jurídico-processual" (apud ALEXANDRE DE PAULA. "O Processo Civil à Luz da Jurisprudência" vol. III, Rio, 1982, Pág. 92, nº 5.007). A tese "mutatis mutandis", é aplicável à espécie sob exame. Decerto, o apelado não comunicou em termos formais o propósito de modificar o fundamento do pedido, mas conforme acima se mostrou, na verdade, o fez, desde a réplica. E a apelante, depois disso, falou nos autos várias vezes, antes do despacho saneador ... Ficou, dessa maneira sacramentada a alteração, tornando-se possível o juízo fazer o que noutras circunstâncias, não seria dado: decidir o litígio com base em responsabilidade por ato ilícito. Ac. de 01-02-1989 Arquivo do EMFOR - TJ/2.010 EMFOR 499 EMENTA: - É admitido em Juízo o pedido genérico a respeito da forma de indenização que a parte pretende quando se torne impossível a determinação, definitivo, das consequências do ato ou do fato ilícito, visando o pedido neste caso, apenas, a condenação do réu à indenizar, pela ocorrência da ilicitude. RESUMO DO ACÓRDÃO: - O pedido deve ser certo e determinado (art. 286) e é interpretado restritivamente (art. 293). "Certo, aqui, quer dizer expresso, explícito, o que se contrapõe à idéia de implícito ou tácito" (A. e ob. cits, fls. 99). - O art. 286, o inciso segundo, realmente, também admite o pedido genérico quando se torne impossível a determinação, em definitivo, das consequências do ato ou do fato ilícito. - ROGÉRIO DE LAURIA TUCCI ("Curso de Direito Processual Civil", Saraiva, 1989, v. 2, fls. 121, pontifica e ministra, com acuidade: "Tal hipótese, na forma aviltada, diz respeito às situações em que o autor, ao demandar o ressarcimento de prejuízos sofridos em virtude de atualização ou omissão ilícita do réu, não tenha como determinar, de pronto, o valor exato da indenização pleiteada. Como bem esclarece JOSÉ FREDERICO MARQUES, nesse caso, o pedido visa apenas a condenação do réu a indenizar, pela ocorrência da ilicitude ..." - Cuidando da questão, o provecto MOACYR AMARAL SANTOS ("Primeiras Linhas de Direito Processual Civil", Saraiva, v. 2, fls. 132) esclarece com a precisão que lhe é peculiar: "Conquanto determinado, quanto ao gênero, pedido pode ser indeterminado na sua quantidade, desde que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Feita a citação, é defeso ao autor modificar a causa de pedir sem o consentimento do réu; não exige a lei, porém, que este se manifeste em termos expressos, devendo entender-se que concordou tacitamente, se, após a réplica, em que se configurara a mudança, falou nos autos várias vezes, sem impugná-la.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2026-09-11T00:08:12.906Z</dcterms:created>
  <dcterms:modified xsi:type="dcterms:W3CDTF">2026-09-11T00:08:12.906Z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