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>
      <w:r>
        <w:rPr>
          <w:b/>
          <w:bCs/>
        </w:rPr>
        <w:t xml:space="preserve">Recurso: </w:t>
      </w:r>
      <w:r>
        <w:t xml:space="preserve">REsp 36.455-8</w:t>
      </w:r>
    </w:p>
    <w:p/>
    <w:p>
      <w:r>
        <w:t xml:space="preserve">CLÁUSULA EXCLUDENTE DE DETERMINADA MOLÉSTIA — SE É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não se desconheça a existência de algumas ilustradas decisões que mandam aplicar a Lei 8.078/90 aos contratos antigos, por considerar suas normas de ordem pública, esta não é a orientação firmada nesta C. Câmara. - A autora informa que assinou o pacto em outubro de 1989 e o chamado Código de Defesa do Consumidor teve sua vigência iniciada bem depois dessa época. A avença foi livremente firmada, com pleno conhecimento das partes a respeito das disposições que a regem, pelo que não poderá ser invocado diploma posterior com o fito de anular cláusula nela contida, sob pena de afronta ao art. 5º, XXXVI, da Carta Magna. - O assunto já esteve sob o crivo do Superior Tribunal de Justiça, assentando aquela alta Corte ser inaplicável o Código de Defesa do Consumidor a contrato que lhe é anterior (REsp. 36.455-8, rel. Min. EDUARDO RIBEIRO, j. em 27.9.93). - É exatamente a posição seguida por esta Câmara, inobstante o respeito sempre devido a entendimento contrário. - Isto resolvido, constata-se que o pacto não previa cobertura de custeio para as doenças de notificação compulsória. Ora, a autora não nega a meningite viral que acometeu um de seus filhos seja de notificação compulsória, como positiva documento por ela juntado (...). - Destarte, ainda que o contrato seja de adesão e que, em princípio, a interpretação deva favorecer o adquirente do plano, o certo é que não há dúvida possível quanto ao alcance da exclusão. A avença exclui da cobertura moléstia do tipo adquirido pelo filho da acionante, não havendo razão legal para ordenar a nulidade dessa cláusula. Não se trata de condição abusiva, ou leonina, como quer a recorrente. Ao se comprometer a prestar serviços médicos e hospitalares, a ré deixou claro, previamente, que não iria cobrir determinadas doenças. Os interessados que assinarem os contratos, deverão cumpri-lo na forma prevista, restando-lhes sempre a opção de escolher outro plano que não contenha a restrição impugnada. - Por derradeiro, a resolução do Conselho Federal de Medicina evidentemente não dispõe de força para obrigar a ré ao cancelamento ou alteração de disposições contratuais antigas. Pode servir, e até seria uma excelente regra de conduta, para casos futuros e as empresas de assistência médica deveriam pensar em seguir os princípios emanados do Conselho. Contudo, para o objetivo perseguido nesta lide, a resolução é inócua. - Em resumo, o MM. Juiz deu adequado desate à causa, sem que se vislumbre violação aos artigos da Lei 8.078/90 invocados pela apelante, até porque o aludido diploma não tem aplicação ao presente caso. Ac. de 20-12-1994 Revista dos Tribunais - Maio de 1995 - Vol. 715 - Pág. 150 EMFOR 569 MEDIDA PROVISÓRIA Nº 1.976-27, DE 1º DE JUNHO DE 2000 Altera a Lei nº 9.656, de 3 de junho de 1998, que dispõe sobre os planos privados de assistência à saúde e dá outras providências. O VICE-PRESIDENTE DA REPÚBLICA, no exercício do cargo de Presidente da República, usando da atribuição que lhe confere o art. 62 da Constituição, adota a seguinte Medida Provisória, com força de lei: Art. 1o Os dispositivos abaixo indicados da Lei no 9.656, de 3 de junho de 1998, passam a vigorar com as seguintes alterações: "Art. 1o Submetem-se às disposições desta Lei as pessoas jurídicas de direito privado que operam planos de assistência à saúde, sem prejuízo do cumprimento da legislação específica que rege a sua atividade, adotando-se, para fins de aplicação das normas aqui estabelecidas, as seguintes definições: I - Plano Privado de Assistência à Saúde: prestação continuada de serviços ou cobertura de custos assistenciais a preço pré ou pós estabelecido, por prazo indeterminado, com a finalidade de garantir, sem limite financeiro, a assistência à saúde, pela faculdade de acesso e atendimento por profissionais ou serviços de saúde, livremente escolhidos, integrantes ou não de rede credenciada, contratada ou referenciada, visando a assistência médica, hospitalar e odontológica, a ser paga integral ou parcialmente às expensas da operadora contratada, mediante reembolso e pagamento direto ao prestador; II - Operadora de Plano de Assistência à Saúde: pessoa jurídica constituída sob a modalidade de sociedade civil ou comercial, cooperativa, ou entidade de autoges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o contrato de assistência médica seja de adesão e que, em princípio a interpretação deva favorecer o adquirente do plano, o certo é que não há dúvida possível quanto ao alcance da exclusão. A avença exclui da cobertura a moléstia do tipo adquirido pelo filho da conveniada (meningite viral), não havendo razão legal para ordenar a nulidade dessa cláusula. Não se trata de condição abusiva, ou leonina. Ao se comprometer a prestar serviços médicos e hospitalares, o convênio deixou claro, previamente, que não iria cobrir determinadas doenças. Os interessados que assinarem os contratos, deverão cumpri-lo na forma prevista, restando-lhes sempre a opção de escolher outro plano que não contenha a restrição impugnada.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2026-10-26T02:18:39.580Z</dcterms:created>
  <dcterms:modified xsi:type="dcterms:W3CDTF">2026-10-26T02:18:39.580Z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