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Julgado em: </w:t>
      </w:r>
      <w:r>
        <w:t xml:space="preserve">16/09/1985</w:t>
      </w:r>
    </w:p>
    <w:p/>
    <w:p>
      <w:r>
        <w:t xml:space="preserve">INTERCORRÊNCIA — EFICÁCIA INDEPENDENTE DE EMBARGOS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cobrança executiva de duplicatas foi suscitada a prescrição intercorrente, tendo o douto juiz "a quo" indeferido a pretensão sob o argumento de que somente via embargos poderia ser o pedido apreciado. - Em decorrência desse despacho o executado, ofereceu o presente agravo. - Pela documentação costada ao agravo verifica-se que as duplicatas venceram-se em 15-10-65, tendo a ação executiva sido ajuizada em 22-04-66. O último ato praticado nos autos da executiva ocorreu neste último ano, com a penhora. - Entende o agravante, avalista dos títulos, ter ocorrido a prescrição intercorrente, negada pelo ilustre juiz de primeiro grau. - O artigo 18 inciso I da Lei 6.458/77, estabelece a prescrição de duplicatas em 3 anos, o que é subsidiado pela Lei Uniforme sobre letras de câmbio. - Por outro lado, a prescrição pode ser arguida a qualquer tempo, independente de embargos. - O agravado mantém-se inerte desde 1966, sem dar qualquer andamento ao efeito. - É induvidosa, pois, a prescrição. - Dá-se portanto, provimento ao recurso para decretar a prescrição e extinguir o processo, condenado o agravado nas custas e honorários de 10% sobre o valor da execução, corrigidos na forma da Lei 6.899/81 e seu regulamento. Julgado em 17-09-1985 Arquivo do EMFOR, TA/677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pode ser arguida e decretada em qualquer fase da execução independente de embargos.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2026-07-28T02:05:00.394Z</dcterms:created>
  <dcterms:modified xsi:type="dcterms:W3CDTF">2026-07-28T02:05:00.394Z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