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ORDEM TRIBUTÁRIA</w:t>
      </w:r>
    </w:p>
    <w:p>
      <w:r>
        <w:rPr>
          <w:i/>
          <w:iCs/>
          <w:color w:val="666666"/>
        </w:rPr>
        <w:t xml:space="preserve">CONTRIBUIÇÕES PREVIDENCIÁRIAS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Tribunal: </w:t>
      </w:r>
      <w:r>
        <w:t xml:space="preserve">TFR</w:t>
      </w:r>
    </w:p>
    <w:p>
      <w:r>
        <w:rPr>
          <w:b/>
          <w:bCs/>
        </w:rPr>
        <w:t xml:space="preserve">Relator: </w:t>
      </w:r>
      <w:r>
        <w:t xml:space="preserve">CARLOS VELLOSO</w:t>
      </w:r>
    </w:p>
    <w:p/>
    <w:p>
      <w:r>
        <w:t xml:space="preserve">ALEGAÇÃO NAS RAZÕES RECURSAIS — POSSIBILIDADE - INDEPENDÊNCIA DE NÃO TÊ-LA FEITO AO APRESENTAR A DEFESA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Na esteira da doutrina, os tribunais tem reafirmado a vigência do art. 162, do Código Civil, admitindo que a exceção de prescrição seja arguida após a contestação: "É admissível que o réu, embora não o tenha feito na contestação, arguia a prescrição nas razões de recurso" (Tribunal de Justiça de São Paulo, in RT 490, pág. 94). "A prescrição pode ser invocada ao nível da apelação. Prevalece a norma de direito substancial, não derrogada pelo estatuto processual. A inobservância do princípio da eventualidade pela defesa implica cominações diversas, e não a perda do direito de invocar a exceção". (2º Tribunal de Alçada Civil de São Paulo, RT 495/144). "A prescrição, no processo de conhecimento, pode ser arguida em grau de recurso mesmo quando, já consumada no momento do ajuizamento da ação, não tiver sido arguida até a sentença. Na execução, todavia, somente pode ser alegada se superveniente à sentença exequenda, CPC, art. 741, VI." (TFR, 4ª Turma, Ap. Cível nº 87.910 - SP; Rel. Min. CARLOS VELLOSO, in RTFR 123/191. Ac. de 21-10-1991 Revista do Superior Tribunal de Justiça - Dez. de 1991 - Nº 28 - Pág. 380 EMFOR 527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Pode o Estado, réu na ação, alegar a prescrição ao interpor seu recurso, ainda que não o tenha feito ao apresentar a defesa, pois a prescrição pode ser alegada em qualquer instância, pela parte a quem aproveita.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2026-10-26T02:34:49.191Z</dcterms:created>
  <dcterms:modified xsi:type="dcterms:W3CDTF">2026-10-26T02:34:49.191Z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