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Cível 23.481</w:t>
      </w:r>
    </w:p>
    <w:p>
      <w:r>
        <w:rPr>
          <w:b/>
          <w:bCs/>
        </w:rPr>
        <w:t xml:space="preserve">Julgado em: </w:t>
      </w:r>
      <w:r>
        <w:t xml:space="preserve">25/12/1985</w:t>
      </w:r>
    </w:p>
    <w:p/>
    <w:p>
      <w:r>
        <w:t xml:space="preserve">NOME COMERCIAL OU MARCA DE FÁBRICA — AÇÃO FUNDADA EM SUA VIOLAÇÃO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Sustentam as autoras que a adoção, pela ré do nome "ASCA" vem confundindo o mercado, já que elas, demandantes, e a demanda são fabricantes de válvulas, circunstância que vem desviando parte da clientela delas, autoras, em proveito da concorrente. - Ao contestar, a ré, invocando o inciso IX do § 10 do art. 178 do Código Civil, arguiu a prescrição da ação. - Na sentença, o Dr. Juiz rejeitou a arguição e a ré insiste nesse ponto no apelo. - Urge assim que a matéria seja apreciada em primeiro lugar. - O dispositivo em epígrafe tem a seguinte redação: "prescreve em cinco anos a ação por ofensa ou dano causados ao direito de propriedade". - Essa redação tem merecido críticas da doutrina e da jurisprudência, porque vem dando margem a interpretações diversas quanto ao seu campo de aplicação. - Entendem uns que dita regra se refere a toda e qualquer ação fundada ao direito de propriedade, enquanto outros sustentam que a sua incidência está restrita às ações de indenização por ato ilícito. - Analisando-se o dispositivo em causa sob o método sistemático, chega-se à conclusão de que ele não pode ter uma aplicação irrestrita a todas as ações fundadas no direito de propriedade, porque, se assim fosse, teríamos que admitir que a ação reivindicatória estaria sujeita ao prazo quinquenal de prescrição, o que seria um absurdo, já que o lapso prescricional da reivindicatória tem de corresponder o da prescrição aquisitiva geradora do usucapião. Dúvida não pode haver, portanto, de que, tendo o legislador estabelecido o critério da prescrição decenal ou vintenal para as ações reais, o dispositivo "sub censura" não pode ser invocado em relação às ações reivindicatórias. - Mas, o dizer que a regra em causa não se aplica às ações reivindicatórias, não quer dizer que só se aplique às ações de indenização por ato ilícito. Não. A restrição não está no seu texto, nem a sua redação autoriza tal limitação. - Pelo que nele se contém, o dispositivo sob exame há de ter aplicação a todos os casos de ofensa ou dano ao direito de propriedade, ressalvada, pelas razões acima expostas, a ação reivindicatória. - É que, referindo-se, sem qualquer limitação ou restrição, a ofensa ou dano, a regra em tela deve ser adotada para todas as ações as quais não haja regulamentação especial. - Essa interpretação está de acordo com os princípios, pois, onde a lei não distingue, o intérprete não deve distinguir. - O entendimento de que o citado dispositivo aplica-se à espécie dos autos, mas se reforça se o examinarmos sob o critério comparativo (modalidade do método sistemático), que consiste em confrontar determinado preceito com outro sobre o mesmo assunto. - Deveras, comparando-se dito dispositivo com o que regula a prescrição de ações referentes a direitos congêneres, como, por exemplo, os direitos de autor, e sendo de cinco anos o prazo para a prescrição das ações relativas a esses direitos (inciso VII do mesmo § 10, hoje substituído pelo artigo 131 da Lei nº 5.988, de 1973), tem-se que admitir que, para as ações fundadas em violação do direito ao nome comercial ou marcas de fábrica e de comércio, o prazo é também de cinco anos, uma vez que a razão e os fundamentos da adoção do lapso quinquenal seriam idênticos. - De observar-se que essa conclusão não resulta de interpretação analógica ou extensiva, o que seria vedado em tema de prescrição: Trata-se, isto sim, de interpretação sob o critério comparativo. - Aliás, o entendimento de que o prazo de prescrição de ações desse tipo é de cinco anos não é inédito nesta Câmara. No julgamento da Apelação Cível nº 23.481, de que foi Relator o eminente Desembargador JORGE LORE TTI, ficou decidido que às ações que versem sobre direitos relativos ao nome comercial ou às marcas de fábricas e de comércio aplica-se o disposto no inciso IX do § do art. 178 do Código Civil. - Com efeito, desde o julgamento do R.E. nº 46.597, de que foi Relator o ilustre Ministro VILLAS BOAS, (RTJ vol. 20/270), que aquela excelsa Corte vem se pronunciando no sentido da prescrição quinquenal para as ações referentes ao direito ao nome comercial, por entender que se tratava de direito relativo à propriedade. - Destarte, admitido assim que o inciso IX do § 10 do art. 178 do Código Civil aplica-se a qualquer ação fundada em violação ao nome comercial ou marca de fábrica, impõe-se reconhecer que, quando foi ajuizada a presente ação já estava prescrita, eis que o registro da marca "ASCA" foi publicado em agosto de 1979..., e o pedido inicial está datad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fundadas em violação ao direito ao nome comercial ou marca de fábrica prescrevem em cinco anos (Artigo 178, § 10, inciso IX, do Código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2026-10-26T05:00:57.044Z</dcterms:created>
  <dcterms:modified xsi:type="dcterms:W3CDTF">2026-10-26T05:00:57.044Z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