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RE 8.489-</w:t>
      </w:r>
    </w:p>
    <w:p/>
    <w:p>
      <w:r>
        <w:t xml:space="preserve">DEFEITOS DA OBRA — AÇÃO DE INDENIZAÇÃO - PRAZO DE 20 ANOS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PRESCREVE EM VINTE ANOS A AÇÃO PARA OBTER, DO CONSTRUTOR, INDENIZAÇÃO POR DEFEITOS DA OBRA. Referência: - CC, arts. 177 e 1.245 - Lei nº 4.591, de 16/12/64, art. 43, II. RE 8.489-RJ (3ªT 29/04/91 - DJ 24/06/91) RE 9.375-SP (3ªT 17/12/91 - DJ 30/03/92) RE 62.278-SP (3ªT 03/09/96 - DJ 21/10/96) RE 1.473-RJ (4ªT 12/12/89 - DJ 05/03/90) RE 5.522-MG (4ªT 14/05/91 - DJ 01/07/91) RE 72.482-SP (4ªT 27/11/95 - DJ 08/04/96) Segunda Seção, na sessão ordinária de 24 de setembro de 1997. DJ nº 191, de 3 OUT 1997 EMENTÁRIO FORENSE. Janeiro, 1998. Ano LI. Nº 590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2026-07-28T02:22:21.198Z</dcterms:created>
  <dcterms:modified xsi:type="dcterms:W3CDTF">2026-07-28T02:22:21.198Z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