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45.030</w:t>
      </w:r>
    </w:p>
    <w:p/>
    <w:p>
      <w:r>
        <w:t xml:space="preserve">INTERRUPÇÃO — INÍCIO DO NOVO PRAZO - COMO SE CONTA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em favor da Fazenda Pública recomeça a correr, por dois anos e meio, a partir do ato interruptivo, mas não fica reduzida aquém de cinco anos, embora o titular do direito a interrompa durante a primeira metade do prazo. Referência: - Decreto nº 20.910, de 06.01.32, art. 9º; - Dec.-Lei nº 4.597, de 19.08.42, art. 3º ERE 45.030, de 03.08.62 (D. de Just. de 13.12.62, p. 840); ERE 12.973, de 01.06.50; ERE 43.346, de 02.06.61. RE 12.973, de 18.07.49. Diário da Justiça, Ano XXXIX - Nº 82, de 8 de maio de 1964 - ADENDO Nº 1 - pág. 1.238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2026-07-28T02:24:16.013Z</dcterms:created>
  <dcterms:modified xsi:type="dcterms:W3CDTF">2026-07-28T02:24:16.013Z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