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45.030</w:t>
      </w:r>
    </w:p>
    <w:p/>
    <w:p>
      <w:r>
        <w:t xml:space="preserve">INTERRUPÇÃO — INÍCIO DO NOVO PRAZO - COMO SE CONTA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em favor da Fazenda Pública recomeça a correr, por dois anos e meio, a partir do ato interruptivo, mas não fica reduzida aquém de cinco anos, embora o titular do direito a interrompa durante a primeira metade do prazo. Referência: - Decreto nº 20.910, de 06.01.32, art. 9º; - Dec.-Lei nº 4.597, de 19.08.42, art. 3º ERE 45.030, de 03.08.62 (D. de Just. de 13.12.62, p. 840); ERE 12.973, de 01.06.50; ERE 43.346, de 02.06.61. RE 12.973, de 18.07.49. Diário da Justiça, Ano XXXIX - Nº 82, de 8 de maio de 1964 - ADENDO Nº 1 - pág. 1.238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2026-10-26T05:56:44.527Z</dcterms:created>
  <dcterms:modified xsi:type="dcterms:W3CDTF">2026-10-26T05:56:44.527Z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