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99.336</w:t>
      </w:r>
    </w:p>
    <w:p/>
    <w:p>
      <w:r>
        <w:t xml:space="preserve">QUANDO ATINGE O PRÓPRIO DIREITO E NÃO APENAS AS PRESTAÇÕES VENCIDAS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assenta em que tempo de serviço mero fato, é imprescritível, prescrevendo somente as parcelas pecuniárias qüinqüenais e não o direito de ação. - Não merece acolhida tal entendimento, porque, como disse o Ministro RAFAEL MAYER no RE 99.336 - SP, julgado na E. Primeira Turma em maio de 1983, &lt;&lt;não se compadece com a realidade jurídica que está em causa. Na verdade - prossegue o eminente julgador - , a lei estadual institui uma vantagem funcional cuja concessão depende da verificação de requisitos em cada situação individual. De seu deferimento, em face da iniciativa do beneficiário, é que decorre a constituição de um direito a incorporar-se em seu patrimônio, irradiando-se daí, consequentemente, o fluxo das prescrições periódicas. Ora se o pretendente se omite de reclamar a obtenção de benefício, desde quando a sua pretensão era exercitável, ou seja , da vigência da própria lei, é o próprio fundo do direito que se compromete com o decurso do prazo prescricional que, consumado àquele mesmo e que retira a acionalidade. Atingindo o próprio direito, não há falar em prestações sucessivas que somente nele têm sua fonte&gt;&gt;. - Cabe lembrar a ementa no RE 95.592 - SP, Relator o Ministro SOARES MUÑOZ, que está em harmonia com o voto do Ministro RAFAEL MAYER, acima transcrito: &lt;&lt;Prescrição Qüinqüenal. Funcionário Público. A prescrição qüinqüenal a favor da Fazenda Pública estabelecida pelo art. 1º do Decreto nº 20.910 em 1932, alcança todo e qualquer direito e ação, seja qual for a sua natureza, sem exceptuar os assegurados por lei ao servidor público. A prescrição apenas das prestações pressupõe que a Administração Pública não tenha praticad o ato de que decorre o não pagamento delas. Recurso extraordinário conhecido e provido&gt;&gt;. (RTJ 108/1.176). - Ora, de 1977 a janeiro de 1985, a Administração estadual nenhum ato praticou impeditivo do pagamento da sexta parte pretendida pelo recorrido. Deixou este fluir o quinquênio sem praticar nenhum ato que importasse no exercício de seu alegado direito. - Esgotado o lapso prescricional, nenhum mais era o seu direito a perceber vantagem que deixou de pleitear. Ac. de 10-02-1987 Revista Trimestral de Jurisprudência, Vol. 121-Pág. 325.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Fluído o quinquênio, sem que o funcionário tenha exercido sua pretensão, nem tendo a Administração praticado qualquer ato contrário a essa pretensão, prescrito está o fundo de direito e não só as prestações vencidas naquele prazo.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2026-07-28T02:11:05.585Z</dcterms:created>
  <dcterms:modified xsi:type="dcterms:W3CDTF">2026-07-28T02:11:05.585Z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