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ORDEM TRIBUTÁRIA</w:t>
      </w:r>
    </w:p>
    <w:p>
      <w:r>
        <w:rPr>
          <w:i/>
          <w:iCs/>
          <w:color w:val="666666"/>
        </w:rPr>
        <w:t xml:space="preserve">CONTRIBUIÇÕES PREVIDENCIÁRIAS</w:t>
      </w:r>
    </w:p>
    <w:p/>
    <w:p>
      <w:r>
        <w:rPr>
          <w:b/>
          <w:bCs/>
        </w:rPr>
        <w:t xml:space="preserve">Recurso: </w:t>
      </w:r>
      <w:r>
        <w:t xml:space="preserve">RE 45.378</w:t>
      </w:r>
    </w:p>
    <w:p/>
    <w:p>
      <w:r>
        <w:t xml:space="preserve">PROTESTO CAMBIÁRIO — SE É EFICAZ PARA TAL FIM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Simples protesto cambiário não interrompe a prescrição. Referência: - Lei nº 2.044, de 31.12.1908, artigo 27; - Cód. Proc. Civil, artigos 166, V e 720. RE 45.378, de 02.05.61. Aprovada em Sessão de 13-12-1963 - pág. 85 EMFOR 193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2026-07-28T06:43:33.164Z</dcterms:created>
  <dcterms:modified xsi:type="dcterms:W3CDTF">2026-07-28T06:43:33.164Z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