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REsp 19.355</w:t>
      </w:r>
    </w:p>
    <w:p/>
    <w:p>
      <w:r>
        <w:t xml:space="preserve">AÇÃO PARA EXIGIR ABSTENÇÃO DO SEU USO — PRAZO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Prescreve em vinte anos a ação para exigir a abstenção do uso de marca comercial. Referência: - Lei 5.772, de 21-12-1971, art. 59 - Código Civil, art. 177 Precedentes: REsp 19.355 - MG (2ª S. 28-10-92 - DJ 01-02-93). REsp 10.564 - SP (3ª T. 26-11-91 - DJ 09-03-92). REsp 26.752 - SP (4ª T. 15-06-93 - DJ 09-08-93). REsp 34.983 - SP (4ª T. 13.12.93 - DJ 21-02-94). Segunda seção, sessão ordinária de 14-6-1995 DJ 23-06-95, pág. 19.648 EMFOR - Nº 558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2026-10-26T04:58:32.461Z</dcterms:created>
  <dcterms:modified xsi:type="dcterms:W3CDTF">2026-10-26T04:58:32.461Z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