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ORDEM TRIBUTÁRIA</w:t>
      </w:r>
    </w:p>
    <w:p>
      <w:r>
        <w:rPr>
          <w:i/>
          <w:iCs/>
          <w:color w:val="666666"/>
        </w:rPr>
        <w:t xml:space="preserve">CONTRIBUIÇÕES PREVIDENCIÁRIAS</w:t>
      </w:r>
    </w:p>
    <w:p/>
    <w:p>
      <w:r>
        <w:rPr>
          <w:b/>
          <w:bCs/>
        </w:rPr>
        <w:t xml:space="preserve">Recurso: </w:t>
      </w:r>
      <w:r>
        <w:t xml:space="preserve">REsp 19.355</w:t>
      </w:r>
    </w:p>
    <w:p/>
    <w:p>
      <w:r>
        <w:t xml:space="preserve">AÇÃO DE PERDAS E DANOS PELO SEU USO — PRAZO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Prescreve em cinco anos a ação de perdas e danos pelo uso de marca comercial. Referência: Lei nº 5.772 de 21-12-1971, art. 59 Código Civil art. 178, parágrafo 10 Precedentes: REsp 19.355 - MG (2ª S. 28-10-92 - DJ 01-02-93). REsp 10.564 - SP (3ª T. 26-11-91 - DJ 09-03-92). REsp 26.752 - SP (4ª T. 15-06-93 - DJ 09-08-93). REsp 34.983 - SP (4ª T. 13-12-93 - DJ 21-02-94). Segunda Seção, sessão ordinária de 14-6-1995 DJ 23-06-1995, 19.648 EMFOR - Nº 558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2026-07-27T23:51:49.375Z</dcterms:created>
  <dcterms:modified xsi:type="dcterms:W3CDTF">2026-07-27T23:51:49.375Z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