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..</w:t>
      </w:r>
    </w:p>
    <w:p/>
    <w:p>
      <w:r>
        <w:t xml:space="preserve">SEPARAÇÃO DE FATO — DIREITO AOS MESMOS -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Autora, ora apelante, é jovem, formada em curso superior de química, é professora secundária, tem emprego estável e é proprietária da casa em que reside, de amplas acomodações, tendo condições de auferir maiores rendimentos. - Já o réu, ora apelado, é comerciário com modestos ganhos, tendo um filho de outra união, com quatro anos de idade, a quem pensiona. - Tanto a promoção quanto o douto parecer foram desfavoráveis ao pedido inicial, pelo que deve ser confirmada a sentença de 1º grau, já que a apelante não revelou necessitar de alimentos, além de serem precárias as possibilidades do apelado. - Negaram provimento à apelação ..., revogando-se a pensão provisória concedida. Ac. de 18-04-1989 VENCIDO O DESEMBARGADOR HILÁRIO ALENCAR EMFOR - TJ/2.137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casada tem o direito de receber alimentos do marido, de quem está separada de fato, se deles necessitar. Mas a prova da necessidade lhe compete produzir convincentemente, em observância ao binômio necessidade-possibilidade.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2026-10-26T01:57:44.950Z</dcterms:created>
  <dcterms:modified xsi:type="dcterms:W3CDTF">2026-10-26T01:57:44.950Z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