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apelação ..</w:t>
      </w:r>
    </w:p>
    <w:p/>
    <w:p>
      <w:r>
        <w:t xml:space="preserve">SEPARAÇÃO DE FATO — DIREITO AOS MESMOS - CONDICIONAMENTO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Autora, ora apelante, é jovem, formada em curso superior de química, é professora secundária, tem emprego estável e é proprietária da casa em que reside, de amplas acomodações, tendo condições de auferir maiores rendimentos. - Já o réu, ora apelado, é comerciário com modestos ganhos, tendo um filho de outra união, com quatro anos de idade, a quem pensiona. - Tanto a promoção quanto o douto parecer foram desfavoráveis ao pedido inicial, pelo que deve ser confirmada a sentença de 1º grau, já que a apelante não revelou necessitar de alimentos, além de serem precárias as possibilidades do apelado. - Negaram provimento à apelação ..., revogando-se a pensão provisória concedida. Ac. de 18-04-1989 VENCIDO O DESEMBARGADOR HILÁRIO ALENCAR EMFOR - TJ/2.137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mulher casada tem o direito de receber alimentos do marido, de quem está separada de fato, se deles necessitar. Mas a prova da necessidade lhe compete produzir convincentemente, em observância ao binômio necessidade-possibilidade.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2026-07-28T01:45:14.217Z</dcterms:created>
  <dcterms:modified xsi:type="dcterms:W3CDTF">2026-07-28T01:45:14.217Z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